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01A" w:rsidRDefault="000E301A" w:rsidP="000E301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0E301A" w:rsidRPr="00CE3C77" w:rsidRDefault="000E301A" w:rsidP="000E301A">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30</w:t>
      </w:r>
      <w:r>
        <w:rPr>
          <w:rFonts w:ascii="IRANSans" w:hAnsi="IRANSans" w:cs="IRANSans" w:hint="cs"/>
          <w:b/>
          <w:bCs/>
          <w:color w:val="0000FF"/>
          <w:sz w:val="24"/>
          <w:szCs w:val="24"/>
          <w:shd w:val="clear" w:color="auto" w:fill="FFFFFF"/>
          <w:rtl/>
        </w:rPr>
        <w:t>1</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20</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12</w:t>
      </w:r>
      <w:r>
        <w:rPr>
          <w:rFonts w:ascii="IRANSans" w:hAnsi="IRANSans" w:cs="IRANSans"/>
          <w:b/>
          <w:bCs/>
          <w:color w:val="0000FF"/>
          <w:sz w:val="24"/>
          <w:szCs w:val="24"/>
          <w:shd w:val="clear" w:color="auto" w:fill="FFFFFF"/>
          <w:rtl/>
        </w:rPr>
        <w:t xml:space="preserve">/ 1398 </w:t>
      </w:r>
      <w:r w:rsidRPr="00AE3BE7">
        <w:rPr>
          <w:rFonts w:ascii="IRANSans" w:hAnsi="IRANSans" w:cs="IRANSans" w:hint="cs"/>
          <w:b/>
          <w:bCs/>
          <w:color w:val="0000FF"/>
          <w:sz w:val="24"/>
          <w:szCs w:val="24"/>
          <w:shd w:val="clear" w:color="auto" w:fill="FFFFFF"/>
          <w:rtl/>
        </w:rPr>
        <w:t>مفاد</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هیئت</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ترکیبی</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ضرر</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و</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ضرار</w:t>
      </w:r>
      <w:r>
        <w:rPr>
          <w:rFonts w:hint="cs"/>
          <w:rtl/>
        </w:rPr>
        <w:t xml:space="preserve"> </w:t>
      </w:r>
      <w:r>
        <w:rPr>
          <w:rFonts w:ascii="IRANSans" w:hAnsi="IRANSans" w:cs="IRANSans" w:hint="cs"/>
          <w:b/>
          <w:bCs/>
          <w:color w:val="0000FF"/>
          <w:sz w:val="24"/>
          <w:szCs w:val="24"/>
          <w:shd w:val="clear" w:color="auto" w:fill="FFFFFF"/>
          <w:rtl/>
        </w:rPr>
        <w:t>/ مفاد حدیث لا ضرر</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0D6D2F" w:rsidP="00925AD6">
      <w:pPr>
        <w:pBdr>
          <w:bottom w:val="double" w:sz="6" w:space="1" w:color="auto"/>
        </w:pBdr>
        <w:jc w:val="both"/>
        <w:rPr>
          <w:rtl/>
        </w:rPr>
      </w:pPr>
      <w:r>
        <w:rPr>
          <w:rFonts w:hint="cs"/>
          <w:rtl/>
        </w:rPr>
        <w:t>بحث در این بود که آیا حدیث «لا ضرر و لا ضرار» شامل احکام مربوط به حق</w:t>
      </w:r>
      <w:r w:rsidR="00F203AE">
        <w:rPr>
          <w:rFonts w:hint="cs"/>
          <w:rtl/>
        </w:rPr>
        <w:t>وق</w:t>
      </w:r>
      <w:r>
        <w:rPr>
          <w:rFonts w:hint="cs"/>
          <w:rtl/>
        </w:rPr>
        <w:t xml:space="preserve"> الله هم می شود؟ دو تقریب بیان کردیم که این حدیث فقط شامل حق</w:t>
      </w:r>
      <w:r w:rsidR="00F203AE">
        <w:rPr>
          <w:rFonts w:hint="cs"/>
          <w:rtl/>
        </w:rPr>
        <w:t>وق</w:t>
      </w:r>
      <w:r>
        <w:rPr>
          <w:rFonts w:hint="cs"/>
          <w:rtl/>
        </w:rPr>
        <w:t xml:space="preserve"> الناس می شود.</w:t>
      </w:r>
    </w:p>
    <w:p w:rsidR="00247D2F" w:rsidRPr="003A6148" w:rsidRDefault="00247D2F" w:rsidP="00925AD6">
      <w:pPr>
        <w:pBdr>
          <w:bottom w:val="double" w:sz="6" w:space="1" w:color="auto"/>
        </w:pBdr>
        <w:jc w:val="both"/>
      </w:pPr>
    </w:p>
    <w:p w:rsidR="008F5B4D" w:rsidRDefault="008F5B4D" w:rsidP="00925AD6">
      <w:pPr>
        <w:jc w:val="both"/>
      </w:pPr>
    </w:p>
    <w:p w:rsidR="003E6650" w:rsidRPr="001A27D7" w:rsidRDefault="00530B5C" w:rsidP="00530B5C">
      <w:pPr>
        <w:pStyle w:val="Heading1"/>
        <w:rPr>
          <w:rtl/>
        </w:rPr>
      </w:pPr>
      <w:bookmarkStart w:id="1" w:name="_Toc40635101"/>
      <w:r>
        <w:rPr>
          <w:rFonts w:hint="cs"/>
          <w:rtl/>
        </w:rPr>
        <w:t>تقریب دیگر اختصاص «لا ضرر» به حق الناس</w:t>
      </w:r>
      <w:bookmarkEnd w:id="1"/>
    </w:p>
    <w:p w:rsidR="001A1EA5" w:rsidRDefault="00ED4C05" w:rsidP="00925AD6">
      <w:pPr>
        <w:jc w:val="both"/>
        <w:rPr>
          <w:rtl/>
        </w:rPr>
      </w:pPr>
      <w:r>
        <w:rPr>
          <w:rFonts w:hint="cs"/>
          <w:rtl/>
        </w:rPr>
        <w:t>اگر حدیث «لا ضرر» شامل احکام مربوط به حق</w:t>
      </w:r>
      <w:r w:rsidR="00D96203">
        <w:rPr>
          <w:rFonts w:hint="cs"/>
          <w:rtl/>
        </w:rPr>
        <w:t>وق</w:t>
      </w:r>
      <w:r>
        <w:rPr>
          <w:rFonts w:hint="cs"/>
          <w:rtl/>
        </w:rPr>
        <w:t xml:space="preserve"> الله هم شود، با مشکل تخصیص اکثر مواجه می شویم.</w:t>
      </w:r>
    </w:p>
    <w:p w:rsidR="0009190E" w:rsidRPr="0009190E" w:rsidRDefault="0009190E" w:rsidP="0009190E">
      <w:pPr>
        <w:jc w:val="both"/>
      </w:pPr>
      <w:r>
        <w:rPr>
          <w:rFonts w:hint="cs"/>
          <w:rtl/>
        </w:rPr>
        <w:t xml:space="preserve">کلام </w:t>
      </w:r>
      <w:r w:rsidR="00F278B7">
        <w:rPr>
          <w:rFonts w:hint="cs"/>
          <w:rtl/>
        </w:rPr>
        <w:t xml:space="preserve">مرحوم آقای خویی در پاسخ به این مشکل </w:t>
      </w:r>
      <w:r>
        <w:rPr>
          <w:rFonts w:hint="cs"/>
          <w:rtl/>
        </w:rPr>
        <w:t>طبق آن چه آقای سیستانی نقل کرده است، چنین است</w:t>
      </w:r>
      <w:r w:rsidR="00F278B7">
        <w:rPr>
          <w:rFonts w:hint="cs"/>
          <w:rtl/>
        </w:rPr>
        <w:t>:</w:t>
      </w:r>
      <w:r>
        <w:rPr>
          <w:rFonts w:hint="cs"/>
          <w:rtl/>
        </w:rPr>
        <w:t xml:space="preserve"> </w:t>
      </w:r>
      <w:r w:rsidRPr="0009190E">
        <w:rPr>
          <w:rFonts w:hint="cs"/>
          <w:color w:val="0000FF"/>
          <w:rtl/>
        </w:rPr>
        <w:t>«الوجه الثاني: ما عن السيد الأستاذ (قده) من أن (لا ضرر) إنما هو ناظر إلى العمومات و الإطلاقات الدالة على التكاليف التي قد تكون ضررية و قد لا تكون ضررية فيحددها بما إذا لم تكن ضررية و لا يتعرض للتكاليف التي هي بطبعها ضررية، و الشاهد على ذلك إن وجوب الحج و الجهاد و غيرهما من الأحكام الضررية كانت ثابتة عند صدور هذا الكلام من النبي صلى الله عليه و آله في قضية سمرة، و مع ذلك لم يعترض عليه أحد من الصحابة بجعل هذه الأحكام الشرعية»</w:t>
      </w:r>
      <w:r>
        <w:rPr>
          <w:rStyle w:val="FootnoteReference"/>
          <w:color w:val="0000FF"/>
          <w:rtl/>
        </w:rPr>
        <w:footnoteReference w:id="1"/>
      </w:r>
    </w:p>
    <w:p w:rsidR="00F278B7" w:rsidRDefault="00F278B7" w:rsidP="003B4787">
      <w:pPr>
        <w:jc w:val="both"/>
        <w:rPr>
          <w:rtl/>
        </w:rPr>
      </w:pPr>
      <w:r>
        <w:rPr>
          <w:rFonts w:hint="cs"/>
          <w:rtl/>
        </w:rPr>
        <w:t xml:space="preserve"> </w:t>
      </w:r>
      <w:r w:rsidR="003B4787">
        <w:rPr>
          <w:rFonts w:hint="cs"/>
          <w:rtl/>
        </w:rPr>
        <w:t>برخی شبیه همین پاسخ را در مورد «لا حرج» گفته اند که «لا حرج» ناظر به احکامی است که اطلاقش مورد ضرر را شامل می شود و اطلاق را به موارد غیر حرجی مقید می کند.</w:t>
      </w:r>
    </w:p>
    <w:p w:rsidR="005845DD" w:rsidRDefault="005845DD" w:rsidP="00D96203">
      <w:pPr>
        <w:jc w:val="both"/>
        <w:rPr>
          <w:rtl/>
        </w:rPr>
      </w:pPr>
      <w:r>
        <w:rPr>
          <w:rFonts w:hint="cs"/>
          <w:rtl/>
        </w:rPr>
        <w:t>آیت الله والد می فرمود: معنا ندارد شارع مقدس در مقام امتنان حکمی را که گاهی حرجی است و گاهی حرجی نیست، جعل نکند اما حکمی را که همیشه حرجی است، جعل کند.</w:t>
      </w:r>
      <w:r w:rsidR="00304CA5">
        <w:rPr>
          <w:rFonts w:hint="cs"/>
          <w:rtl/>
        </w:rPr>
        <w:t xml:space="preserve"> وقتی احکامی که گاهی حرجی هستند، شارع</w:t>
      </w:r>
      <w:r w:rsidR="00D96203" w:rsidRPr="00D96203">
        <w:rPr>
          <w:rFonts w:hint="cs"/>
          <w:rtl/>
        </w:rPr>
        <w:t xml:space="preserve"> </w:t>
      </w:r>
      <w:r w:rsidR="00D96203">
        <w:rPr>
          <w:rFonts w:hint="cs"/>
          <w:rtl/>
        </w:rPr>
        <w:t>در موارد حرج</w:t>
      </w:r>
      <w:r w:rsidR="00304CA5">
        <w:rPr>
          <w:rFonts w:hint="cs"/>
          <w:rtl/>
        </w:rPr>
        <w:t xml:space="preserve"> آن حکم را جعل نکرده است به طریق اولویت حکمی که همواره حرجی است، جعل نشده است.</w:t>
      </w:r>
      <w:r w:rsidR="001720D0">
        <w:rPr>
          <w:rFonts w:hint="cs"/>
          <w:rtl/>
        </w:rPr>
        <w:t xml:space="preserve"> «لا ضرر» هم همین طور است.</w:t>
      </w:r>
      <w:r w:rsidR="00285DC6">
        <w:rPr>
          <w:rFonts w:hint="cs"/>
          <w:rtl/>
        </w:rPr>
        <w:t xml:space="preserve"> در نتیجه پاسخ مرحوم آقای خویی صحیح نمی باشد.</w:t>
      </w:r>
    </w:p>
    <w:p w:rsidR="00917369" w:rsidRDefault="00917369" w:rsidP="003B4787">
      <w:pPr>
        <w:jc w:val="both"/>
        <w:rPr>
          <w:rtl/>
        </w:rPr>
      </w:pPr>
      <w:r>
        <w:rPr>
          <w:rFonts w:hint="cs"/>
          <w:rtl/>
        </w:rPr>
        <w:t xml:space="preserve">مرحوم آقای خویی وجوب حج و جهاد را به </w:t>
      </w:r>
      <w:r w:rsidR="00DF2597">
        <w:rPr>
          <w:rFonts w:hint="cs"/>
          <w:rtl/>
        </w:rPr>
        <w:t>عنوان شاهد کلام خود بیان می کند و می فرماید وجوب این احکام هنگام صدور قضیه</w:t>
      </w:r>
      <w:r w:rsidR="00DF2597">
        <w:rPr>
          <w:rFonts w:hint="eastAsia"/>
          <w:rtl/>
        </w:rPr>
        <w:t>‌</w:t>
      </w:r>
      <w:r w:rsidR="00DF2597">
        <w:rPr>
          <w:rFonts w:hint="cs"/>
          <w:rtl/>
        </w:rPr>
        <w:t>ی سمره ثابت بود و با این حال هیچ کدام از اصحاب به جعل چنین احکامی اعتراض نکرده اند.</w:t>
      </w:r>
    </w:p>
    <w:p w:rsidR="00DF2597" w:rsidRDefault="00DF2597" w:rsidP="008D7300">
      <w:pPr>
        <w:jc w:val="both"/>
        <w:rPr>
          <w:rtl/>
        </w:rPr>
      </w:pPr>
      <w:r>
        <w:rPr>
          <w:rFonts w:hint="cs"/>
          <w:rtl/>
        </w:rPr>
        <w:lastRenderedPageBreak/>
        <w:t xml:space="preserve">پاسخ این است که علت عدم اعتراض </w:t>
      </w:r>
      <w:r w:rsidR="008D7300">
        <w:rPr>
          <w:rFonts w:hint="cs"/>
          <w:rtl/>
        </w:rPr>
        <w:t>اصحاب</w:t>
      </w:r>
      <w:r>
        <w:rPr>
          <w:rFonts w:hint="cs"/>
          <w:rtl/>
        </w:rPr>
        <w:t xml:space="preserve"> به این دلیل است که «لا ضرر» </w:t>
      </w:r>
      <w:r w:rsidR="008D7300">
        <w:rPr>
          <w:rFonts w:hint="cs"/>
          <w:rtl/>
        </w:rPr>
        <w:t xml:space="preserve">را ناظر به احکام مربوط به حقوق الله نمی دانستند و به حقوق الناس </w:t>
      </w:r>
      <w:r w:rsidR="003A1A96">
        <w:rPr>
          <w:rFonts w:hint="cs"/>
          <w:rtl/>
        </w:rPr>
        <w:t>اختصاص می دادند و به نوعی این عدم اعتراض اصحاب موید کلام ماست که «لا ضرر» را مختص حقوق الله دانستیم.</w:t>
      </w:r>
    </w:p>
    <w:p w:rsidR="00530B5C" w:rsidRDefault="000B6F1E" w:rsidP="00153FA2">
      <w:pPr>
        <w:pStyle w:val="Heading1"/>
        <w:rPr>
          <w:rtl/>
        </w:rPr>
      </w:pPr>
      <w:bookmarkStart w:id="2" w:name="_Toc40635102"/>
      <w:r>
        <w:rPr>
          <w:rFonts w:hint="cs"/>
          <w:rtl/>
        </w:rPr>
        <w:t>مفاد لا ضرر و لا ضرار</w:t>
      </w:r>
      <w:bookmarkEnd w:id="2"/>
    </w:p>
    <w:p w:rsidR="00530B5C" w:rsidRDefault="000B6F1E" w:rsidP="00925AD6">
      <w:pPr>
        <w:jc w:val="both"/>
        <w:rPr>
          <w:rtl/>
        </w:rPr>
      </w:pPr>
      <w:r>
        <w:rPr>
          <w:rFonts w:hint="cs"/>
          <w:rtl/>
        </w:rPr>
        <w:t>آقای سیستانی «لا ضرر» را به معنای عدم تسبیب به حکمی که تضرر عباد از آن ناشی می شود و عدم تسبیب به الزام به تحمل تضرر دانستند و سه مفاد هم از «لا ضرار» استفاده کردند: تحریم اضرار، اتخاذ وسائل اجرائی که خارجا مانع تحقق ضرر می شود و تشریع احکامی که موضوع اضرار را از بین می برد، مانند حق شفعه؛</w:t>
      </w:r>
    </w:p>
    <w:p w:rsidR="000B6F1E" w:rsidRDefault="000B6F1E" w:rsidP="00153FA2">
      <w:pPr>
        <w:jc w:val="both"/>
        <w:rPr>
          <w:rtl/>
        </w:rPr>
      </w:pPr>
      <w:r>
        <w:rPr>
          <w:rFonts w:hint="cs"/>
          <w:rtl/>
        </w:rPr>
        <w:t xml:space="preserve">آقای سیستانی </w:t>
      </w:r>
      <w:r w:rsidR="00153FA2">
        <w:rPr>
          <w:rFonts w:hint="cs"/>
          <w:rtl/>
        </w:rPr>
        <w:t>با توجه به این معنا</w:t>
      </w:r>
      <w:r>
        <w:rPr>
          <w:rFonts w:hint="cs"/>
          <w:rtl/>
        </w:rPr>
        <w:t xml:space="preserve"> اشکالاتی را به </w:t>
      </w:r>
      <w:r w:rsidR="002340FA">
        <w:rPr>
          <w:rFonts w:hint="cs"/>
          <w:rtl/>
        </w:rPr>
        <w:t xml:space="preserve">مرحوم </w:t>
      </w:r>
      <w:r>
        <w:rPr>
          <w:rFonts w:hint="cs"/>
          <w:rtl/>
        </w:rPr>
        <w:t>شیخ الشریعه اصفهانی وارد می کنند.</w:t>
      </w:r>
    </w:p>
    <w:p w:rsidR="00530B5C" w:rsidRDefault="00475FF3" w:rsidP="00925AD6">
      <w:pPr>
        <w:jc w:val="both"/>
        <w:rPr>
          <w:rtl/>
        </w:rPr>
      </w:pPr>
      <w:r>
        <w:rPr>
          <w:rFonts w:hint="cs"/>
          <w:rtl/>
        </w:rPr>
        <w:t>مرحوم شیخ الشریعه، «لا ضرر و لا ضرار» را به معنای نهی گرفته است.</w:t>
      </w:r>
    </w:p>
    <w:p w:rsidR="00475FF3" w:rsidRDefault="00475FF3" w:rsidP="00925AD6">
      <w:pPr>
        <w:jc w:val="both"/>
        <w:rPr>
          <w:rtl/>
        </w:rPr>
      </w:pPr>
      <w:r>
        <w:rPr>
          <w:rFonts w:hint="cs"/>
          <w:rtl/>
        </w:rPr>
        <w:t xml:space="preserve">آقای سیستانی شواهدی را که مرحوم شیخ الشریعه برای اثبات مسلک خود بیان کرده است، نقد می کند </w:t>
      </w:r>
      <w:r w:rsidR="00277529">
        <w:rPr>
          <w:rFonts w:hint="cs"/>
          <w:rtl/>
        </w:rPr>
        <w:t>و در انتها می فرماید:</w:t>
      </w:r>
    </w:p>
    <w:p w:rsidR="00277529" w:rsidRPr="00277529" w:rsidRDefault="00277529" w:rsidP="00277529">
      <w:pPr>
        <w:jc w:val="both"/>
        <w:rPr>
          <w:color w:val="0000FF"/>
        </w:rPr>
      </w:pPr>
      <w:r w:rsidRPr="00277529">
        <w:rPr>
          <w:rFonts w:hint="cs"/>
          <w:color w:val="0000FF"/>
          <w:rtl/>
        </w:rPr>
        <w:t>«البحث الثالث: في مناقشة هذا المسلك</w:t>
      </w:r>
      <w:r w:rsidRPr="00277529">
        <w:rPr>
          <w:rFonts w:hint="cs"/>
          <w:color w:val="0000FF"/>
        </w:rPr>
        <w:t>‌</w:t>
      </w:r>
    </w:p>
    <w:p w:rsidR="00277529" w:rsidRPr="00277529" w:rsidRDefault="00277529" w:rsidP="00277529">
      <w:pPr>
        <w:jc w:val="both"/>
        <w:rPr>
          <w:rtl/>
        </w:rPr>
      </w:pPr>
      <w:r w:rsidRPr="00277529">
        <w:rPr>
          <w:rFonts w:hint="cs"/>
          <w:color w:val="0000FF"/>
          <w:rtl/>
        </w:rPr>
        <w:t>و يظهر ذلك مما سبق في تحقيق معنى الحديث على المختار»</w:t>
      </w:r>
      <w:r>
        <w:rPr>
          <w:rStyle w:val="FootnoteReference"/>
          <w:color w:val="0000FF"/>
          <w:rtl/>
        </w:rPr>
        <w:footnoteReference w:id="2"/>
      </w:r>
    </w:p>
    <w:p w:rsidR="008F47A4" w:rsidRPr="008F47A4" w:rsidRDefault="00277529" w:rsidP="008F47A4">
      <w:pPr>
        <w:jc w:val="both"/>
      </w:pPr>
      <w:r>
        <w:rPr>
          <w:rFonts w:hint="cs"/>
          <w:rtl/>
        </w:rPr>
        <w:t>سپس اشکالاتی را که به مسلک مرحوم شیخ الشریعه وارد است، بیان می کند.</w:t>
      </w:r>
      <w:r w:rsidR="003357AB">
        <w:rPr>
          <w:rFonts w:hint="cs"/>
          <w:rtl/>
        </w:rPr>
        <w:t xml:space="preserve"> این اشکالات، اشکالات مبنایی است. </w:t>
      </w:r>
      <w:r w:rsidR="008F47A4">
        <w:rPr>
          <w:rFonts w:hint="cs"/>
          <w:rtl/>
        </w:rPr>
        <w:t xml:space="preserve">مثلا در یکی از اشکالات می فرماید: </w:t>
      </w:r>
      <w:r w:rsidR="008F47A4" w:rsidRPr="008F47A4">
        <w:rPr>
          <w:rFonts w:hint="cs"/>
          <w:color w:val="0000FF"/>
          <w:rtl/>
        </w:rPr>
        <w:t>«... ففيما يتعلق ب (لا ضرر) قد أوضحنا إن معنى الضرر بما إنه معنى اسم مصدري لا يتضمن النسبة الصدورية فلا تناسب بينه و بين احتمال النهي لأنه ماهية مرغوب عنها لا تتحمل إلا بتصور التسبيب الشرعي فيكون نفيه نفيا لذلك بالطبع، و إنما المناسب مع النهي هو الإضرار و الضرار»</w:t>
      </w:r>
      <w:r w:rsidR="008F47A4">
        <w:rPr>
          <w:rStyle w:val="FootnoteReference"/>
          <w:color w:val="0000FF"/>
          <w:rtl/>
        </w:rPr>
        <w:footnoteReference w:id="3"/>
      </w:r>
    </w:p>
    <w:p w:rsidR="00277529" w:rsidRDefault="001C67D7" w:rsidP="00153FA2">
      <w:pPr>
        <w:jc w:val="both"/>
        <w:rPr>
          <w:rtl/>
        </w:rPr>
      </w:pPr>
      <w:r>
        <w:rPr>
          <w:rFonts w:hint="cs"/>
          <w:rtl/>
        </w:rPr>
        <w:t>آقای سیستانی ضرر را به معنای اسم مصدری یعنی</w:t>
      </w:r>
      <w:r w:rsidR="00153FA2">
        <w:rPr>
          <w:rFonts w:hint="cs"/>
          <w:rtl/>
        </w:rPr>
        <w:t xml:space="preserve"> المنقصة النازلة بالمتضرر گرفته </w:t>
      </w:r>
      <w:r>
        <w:rPr>
          <w:rFonts w:hint="cs"/>
          <w:rtl/>
        </w:rPr>
        <w:t xml:space="preserve">اما </w:t>
      </w:r>
      <w:r w:rsidR="008F47A4">
        <w:rPr>
          <w:rFonts w:hint="cs"/>
          <w:rtl/>
        </w:rPr>
        <w:t>مرحوم شیخ الشریعه ضرر را به معنا</w:t>
      </w:r>
      <w:r>
        <w:rPr>
          <w:rFonts w:hint="cs"/>
          <w:rtl/>
        </w:rPr>
        <w:t>ی</w:t>
      </w:r>
      <w:r w:rsidR="008F47A4">
        <w:rPr>
          <w:rFonts w:hint="cs"/>
          <w:rtl/>
        </w:rPr>
        <w:t>ی</w:t>
      </w:r>
      <w:r w:rsidR="00153FA2">
        <w:rPr>
          <w:rFonts w:hint="cs"/>
          <w:rtl/>
        </w:rPr>
        <w:t xml:space="preserve"> شبیه اضرار گرفته است</w:t>
      </w:r>
      <w:r>
        <w:rPr>
          <w:rFonts w:hint="cs"/>
          <w:rtl/>
        </w:rPr>
        <w:t xml:space="preserve"> و از مجموع فرمایشات شیخ الشریعه تفکیک بین ضرر و ضرار استفاده نمی شود و هر دو را به معنای </w:t>
      </w:r>
      <w:r w:rsidR="00153FA2">
        <w:rPr>
          <w:rFonts w:hint="cs"/>
          <w:rtl/>
        </w:rPr>
        <w:t>تحریم ضرر زدن به غیر گرفته است</w:t>
      </w:r>
      <w:r>
        <w:rPr>
          <w:rFonts w:hint="cs"/>
          <w:rtl/>
        </w:rPr>
        <w:t>.</w:t>
      </w:r>
      <w:r w:rsidR="001A5308">
        <w:rPr>
          <w:rFonts w:hint="cs"/>
          <w:rtl/>
        </w:rPr>
        <w:t xml:space="preserve"> بنابراین اشکال آقای سیستانی طبق مبنای خودش می باشد که ضرر را به معنای منقصت نازل به متضرر</w:t>
      </w:r>
      <w:r w:rsidR="003B0F12">
        <w:rPr>
          <w:rFonts w:hint="cs"/>
          <w:rtl/>
        </w:rPr>
        <w:t xml:space="preserve"> معنا کرد.</w:t>
      </w:r>
    </w:p>
    <w:p w:rsidR="00D61A03" w:rsidRDefault="00D61A03" w:rsidP="00720A55">
      <w:pPr>
        <w:jc w:val="both"/>
        <w:rPr>
          <w:rtl/>
        </w:rPr>
      </w:pPr>
      <w:r>
        <w:rPr>
          <w:rFonts w:hint="cs"/>
          <w:rtl/>
        </w:rPr>
        <w:lastRenderedPageBreak/>
        <w:t>ما با این کلام آقای سیستانی موافقت کردیم که ضرر به معنای منقصت نازل به متضرر می باشد،</w:t>
      </w:r>
      <w:r w:rsidR="00497811">
        <w:rPr>
          <w:rFonts w:hint="cs"/>
          <w:rtl/>
        </w:rPr>
        <w:t xml:space="preserve"> اما</w:t>
      </w:r>
      <w:r>
        <w:rPr>
          <w:rFonts w:hint="cs"/>
          <w:rtl/>
        </w:rPr>
        <w:t xml:space="preserve"> آیا با پذیرش این مبنا می‌توانیم اشکال آقای سیستانی را قبول کنیم؟</w:t>
      </w:r>
    </w:p>
    <w:p w:rsidR="00720A55" w:rsidRDefault="00720A55" w:rsidP="00720A55">
      <w:pPr>
        <w:jc w:val="both"/>
        <w:rPr>
          <w:rtl/>
        </w:rPr>
      </w:pPr>
      <w:r>
        <w:rPr>
          <w:rFonts w:hint="cs"/>
          <w:rtl/>
        </w:rPr>
        <w:t>آقای سیستانی عبارتی دارند که چون ضرر به معنای منقصت می باشد و معنای اسم مصدری دارد، نسبت صدوریه را در بر ندارد و در نتیجه با نهی تناسب ندارد.</w:t>
      </w:r>
      <w:r w:rsidR="00FE4F23">
        <w:rPr>
          <w:rFonts w:hint="cs"/>
          <w:rtl/>
        </w:rPr>
        <w:t xml:space="preserve"> در واقع ایشان ضرر را به معنای شبیه تضرر گرفته اند؛ در این صورت می تواند متعلق نهی واقع شود. مثلا «لا یتضرر مومن»، نباید مومن متضرر شود؛ یا «لا یجوز التضرر بالمومن»، تضرر به مومن جائز نیست. چنین عبارتی مشکل ندارد. شاید آقای سیستانی نهی از تضرر را نهی دیگران از فعلی بداند که موجب تضرر دیگری می شود. اما ظاهر «لا ضرر» این است که متعلق آن خود متضرر است؛ بنابراین معنای </w:t>
      </w:r>
      <w:r w:rsidR="008B199D">
        <w:rPr>
          <w:rFonts w:hint="cs"/>
          <w:rtl/>
        </w:rPr>
        <w:t>«</w:t>
      </w:r>
      <w:r w:rsidR="00FE4F23">
        <w:rPr>
          <w:rFonts w:hint="cs"/>
          <w:rtl/>
        </w:rPr>
        <w:t>نهی دیگران</w:t>
      </w:r>
      <w:r w:rsidR="008B199D">
        <w:rPr>
          <w:rFonts w:hint="cs"/>
          <w:rtl/>
        </w:rPr>
        <w:t>»</w:t>
      </w:r>
      <w:r w:rsidR="00FE4F23">
        <w:rPr>
          <w:rFonts w:hint="cs"/>
          <w:rtl/>
        </w:rPr>
        <w:t xml:space="preserve"> در «لا ضرر» خلاف ظاهر است.</w:t>
      </w:r>
    </w:p>
    <w:p w:rsidR="00530B5C" w:rsidRDefault="00F771F9" w:rsidP="00497811">
      <w:pPr>
        <w:jc w:val="both"/>
        <w:rPr>
          <w:rtl/>
        </w:rPr>
      </w:pPr>
      <w:r>
        <w:rPr>
          <w:rFonts w:hint="cs"/>
          <w:rtl/>
        </w:rPr>
        <w:t xml:space="preserve">البته این تقریب طبق مبنایی صحیح است که استعمال «لا»یی که برای نفی طبیعت </w:t>
      </w:r>
      <w:r w:rsidR="00497811">
        <w:rPr>
          <w:rFonts w:hint="cs"/>
          <w:rtl/>
        </w:rPr>
        <w:t>است</w:t>
      </w:r>
      <w:r>
        <w:rPr>
          <w:rFonts w:hint="cs"/>
          <w:rtl/>
        </w:rPr>
        <w:t xml:space="preserve">، در نفی سبب </w:t>
      </w:r>
      <w:r w:rsidR="003F1A64">
        <w:rPr>
          <w:rFonts w:hint="cs"/>
          <w:rtl/>
        </w:rPr>
        <w:t xml:space="preserve">به لسان نفی مسبب را صحیح بدانیم که مبنای آقای سیستانی است. مرحوم شیخ الشریعه می فرماید: استعمال این صیغه در نفی سبب </w:t>
      </w:r>
      <w:r w:rsidR="000B231A">
        <w:rPr>
          <w:rFonts w:hint="cs"/>
          <w:rtl/>
        </w:rPr>
        <w:t>به لسان نفی مسبب معهود نمی باشد؛ همچنین استعمال آن در نفی حکم به لسان نفی موضوع در این ترکیب خاص هم معهود نمی باشد. نفی حکم به لسان نفی موضوع در جایی است که یک طبیعت کلی حکمی داشته باشد و بخواهیم این حکم طبیعت کلی را از بعضی از اصناف آن طبیعت منتفی بدانیم.</w:t>
      </w:r>
    </w:p>
    <w:p w:rsidR="00D254E9" w:rsidRDefault="006316C5" w:rsidP="00925AD6">
      <w:pPr>
        <w:jc w:val="both"/>
        <w:rPr>
          <w:rtl/>
        </w:rPr>
      </w:pPr>
      <w:r>
        <w:rPr>
          <w:rFonts w:hint="cs"/>
          <w:rtl/>
        </w:rPr>
        <w:t>مرحوم شیخ الشریعه</w:t>
      </w:r>
      <w:r w:rsidR="00D254E9">
        <w:rPr>
          <w:rFonts w:hint="cs"/>
          <w:rtl/>
        </w:rPr>
        <w:t xml:space="preserve"> ابتدا چهار معنا برای «لا ضرر» بیان می کند:</w:t>
      </w:r>
    </w:p>
    <w:p w:rsidR="00D254E9" w:rsidRDefault="00D254E9" w:rsidP="00D254E9">
      <w:pPr>
        <w:pStyle w:val="ListParagraph"/>
        <w:numPr>
          <w:ilvl w:val="0"/>
          <w:numId w:val="16"/>
        </w:numPr>
        <w:jc w:val="both"/>
        <w:rPr>
          <w:rtl/>
        </w:rPr>
      </w:pPr>
      <w:r>
        <w:rPr>
          <w:rFonts w:hint="cs"/>
          <w:rtl/>
        </w:rPr>
        <w:t>نهی از ضرر</w:t>
      </w:r>
    </w:p>
    <w:p w:rsidR="00D254E9" w:rsidRDefault="00D254E9" w:rsidP="00D254E9">
      <w:pPr>
        <w:pStyle w:val="ListParagraph"/>
        <w:numPr>
          <w:ilvl w:val="0"/>
          <w:numId w:val="16"/>
        </w:numPr>
        <w:jc w:val="both"/>
      </w:pPr>
      <w:r>
        <w:rPr>
          <w:rFonts w:hint="cs"/>
          <w:rtl/>
        </w:rPr>
        <w:t>أنّ المنفی هو ضرر غیر المتدارک</w:t>
      </w:r>
    </w:p>
    <w:p w:rsidR="00D254E9" w:rsidRDefault="00D254E9" w:rsidP="00D254E9">
      <w:pPr>
        <w:pStyle w:val="ListParagraph"/>
        <w:numPr>
          <w:ilvl w:val="0"/>
          <w:numId w:val="16"/>
        </w:numPr>
        <w:jc w:val="both"/>
      </w:pPr>
      <w:r>
        <w:rPr>
          <w:rFonts w:hint="cs"/>
          <w:rtl/>
        </w:rPr>
        <w:t>نفی حکم ضرری و ما یستلزم تشریعه ضرراً</w:t>
      </w:r>
    </w:p>
    <w:p w:rsidR="006316C5" w:rsidRDefault="00D254E9" w:rsidP="00D254E9">
      <w:pPr>
        <w:pStyle w:val="ListParagraph"/>
        <w:numPr>
          <w:ilvl w:val="0"/>
          <w:numId w:val="16"/>
        </w:numPr>
        <w:jc w:val="both"/>
        <w:rPr>
          <w:rtl/>
        </w:rPr>
      </w:pPr>
      <w:r>
        <w:rPr>
          <w:rFonts w:hint="cs"/>
          <w:rtl/>
        </w:rPr>
        <w:t>نفی حکم به لسان نفی موضوع</w:t>
      </w:r>
    </w:p>
    <w:p w:rsidR="00E60BE9" w:rsidRPr="00E60BE9" w:rsidRDefault="00E60BE9" w:rsidP="00E60BE9">
      <w:pPr>
        <w:jc w:val="both"/>
      </w:pPr>
      <w:r>
        <w:rPr>
          <w:rFonts w:hint="cs"/>
          <w:rtl/>
        </w:rPr>
        <w:t xml:space="preserve">سپس در این معانی مناقشه می کند و در مورد معنای سوم می فرماید: </w:t>
      </w:r>
      <w:r w:rsidRPr="00E60BE9">
        <w:rPr>
          <w:rFonts w:hint="cs"/>
          <w:color w:val="000080"/>
          <w:rtl/>
        </w:rPr>
        <w:t>كما أنّ المعنى الثالث من نفي المسبّب و إرادة السبب لم يعهد في مثل هذا التركيب أبدا</w:t>
      </w:r>
      <w:r w:rsidR="00621E55">
        <w:rPr>
          <w:rStyle w:val="FootnoteReference"/>
          <w:color w:val="000080"/>
          <w:rtl/>
        </w:rPr>
        <w:footnoteReference w:id="4"/>
      </w:r>
    </w:p>
    <w:p w:rsidR="00E60BE9" w:rsidRPr="00E60BE9" w:rsidRDefault="00E60BE9" w:rsidP="00E60BE9">
      <w:pPr>
        <w:jc w:val="both"/>
      </w:pPr>
      <w:r>
        <w:rPr>
          <w:rFonts w:hint="cs"/>
          <w:rtl/>
        </w:rPr>
        <w:t xml:space="preserve">در مورد معنای چهارم می فرماید: </w:t>
      </w:r>
      <w:r w:rsidRPr="00E60BE9">
        <w:rPr>
          <w:rFonts w:hint="cs"/>
          <w:color w:val="000080"/>
          <w:rtl/>
        </w:rPr>
        <w:t>و المعنى الرابع و إن كان معهودا في هذا التركيب- كما سمعت- إلّا أنّه فيما إذا ثبت حكم لموضوع عامّ و أريد نفيه عن بعض أصنافه- كما في الأمثلة المتقدمة- و من الواضح: أنّه لم يجعل لنفس الضرر حكم يراد به نفيه عن بعض أصنافه.</w:t>
      </w:r>
      <w:r>
        <w:rPr>
          <w:rStyle w:val="FootnoteReference"/>
          <w:color w:val="000080"/>
          <w:rtl/>
        </w:rPr>
        <w:footnoteReference w:id="5"/>
      </w:r>
    </w:p>
    <w:p w:rsidR="00530B5C" w:rsidRDefault="00FC260F" w:rsidP="00925AD6">
      <w:pPr>
        <w:jc w:val="both"/>
        <w:rPr>
          <w:rtl/>
        </w:rPr>
      </w:pPr>
      <w:r>
        <w:rPr>
          <w:rFonts w:hint="cs"/>
          <w:rtl/>
        </w:rPr>
        <w:lastRenderedPageBreak/>
        <w:t>بنابراین اشکالات آقای سیستانی اشکالات مبنایی می باشد.</w:t>
      </w:r>
      <w:r w:rsidR="00B264BE">
        <w:rPr>
          <w:rFonts w:hint="cs"/>
          <w:rtl/>
        </w:rPr>
        <w:t xml:space="preserve"> البته آقای سیستانی هم همین قصد را داشته است.</w:t>
      </w:r>
    </w:p>
    <w:p w:rsidR="00530B5C" w:rsidRDefault="00D51273" w:rsidP="00925AD6">
      <w:pPr>
        <w:jc w:val="both"/>
        <w:rPr>
          <w:rtl/>
        </w:rPr>
      </w:pPr>
      <w:r>
        <w:rPr>
          <w:rFonts w:hint="cs"/>
          <w:rtl/>
        </w:rPr>
        <w:t>ما هم از این جهت که «لا» فقط در مقام نهی به کار می رود، با مرحوم شیخ الشریعه موافقت کردیم، البته با این توضیح که «لا» در مقام نفی مشروعیت به معنای عام به کار می رود و استعمال «لا»</w:t>
      </w:r>
      <w:r w:rsidR="00FC1D51">
        <w:rPr>
          <w:rFonts w:hint="cs"/>
          <w:rtl/>
        </w:rPr>
        <w:t>یی که بر طبیعت وارد می شود،</w:t>
      </w:r>
      <w:r>
        <w:rPr>
          <w:rFonts w:hint="cs"/>
          <w:rtl/>
        </w:rPr>
        <w:t xml:space="preserve"> در موارد</w:t>
      </w:r>
      <w:r w:rsidR="00FC1D51">
        <w:rPr>
          <w:rFonts w:hint="cs"/>
          <w:rtl/>
        </w:rPr>
        <w:t>ی غیر از نفی مشروعیت برای ما ثابت نشده است.</w:t>
      </w:r>
    </w:p>
    <w:p w:rsidR="00EF6B21" w:rsidRDefault="00EF6B21" w:rsidP="00925AD6">
      <w:pPr>
        <w:jc w:val="both"/>
        <w:rPr>
          <w:rtl/>
        </w:rPr>
      </w:pPr>
      <w:r>
        <w:rPr>
          <w:rFonts w:hint="cs"/>
          <w:rtl/>
        </w:rPr>
        <w:t xml:space="preserve">در تقریرات آقای سیستانی ضمن بررسی کلام شیخ الشریعه چنین آمده است: </w:t>
      </w:r>
      <w:r w:rsidR="00C411B3">
        <w:rPr>
          <w:rFonts w:hint="cs"/>
          <w:rtl/>
        </w:rPr>
        <w:t>«</w:t>
      </w:r>
      <w:r w:rsidR="00C411B3" w:rsidRPr="00C411B3">
        <w:rPr>
          <w:color w:val="0000FF"/>
          <w:rtl/>
        </w:rPr>
        <w:t xml:space="preserve">الوجه الخامس: اتفاق أهل اللغة على فهم معنى النهي من الحديث‌. قال (قده) (في كلام له): (و لنذكر بعض كلمات أئمة اللغة و مهرة أهل اللسان تراهم متفقين على إرادة النهي لا يرتابون فيه و لا يحتملون غيره، ففي النهاية الأثيرية: قوله (لا ضرر) أي لا يضر الرجل أخاه فينقصه شي‌ء من حقه، و الضرار فعال من الضر أي لا يجازيه على إضراره بإدخال (الضرر عليه). و في لسان العرب و هو كتاب </w:t>
      </w:r>
      <w:r w:rsidR="00C411B3">
        <w:rPr>
          <w:color w:val="0000FF"/>
          <w:rtl/>
        </w:rPr>
        <w:t>جليل في اللغة في عشرين مجلدا</w:t>
      </w:r>
      <w:r w:rsidR="00C411B3" w:rsidRPr="00C411B3">
        <w:rPr>
          <w:color w:val="0000FF"/>
          <w:rtl/>
        </w:rPr>
        <w:t xml:space="preserve"> معنى قوله (لا ضرر) لا يضر الرجل أخاه فينقصه شيئا من حقه.</w:t>
      </w:r>
      <w:r w:rsidR="00C411B3">
        <w:rPr>
          <w:rFonts w:hint="cs"/>
          <w:color w:val="0000FF"/>
          <w:rtl/>
        </w:rPr>
        <w:t>»</w:t>
      </w:r>
      <w:r w:rsidR="00C411B3">
        <w:rPr>
          <w:rStyle w:val="FootnoteReference"/>
          <w:color w:val="0000FF"/>
          <w:rtl/>
        </w:rPr>
        <w:footnoteReference w:id="6"/>
      </w:r>
    </w:p>
    <w:p w:rsidR="00D51273" w:rsidRDefault="00EA3CD0" w:rsidP="00925AD6">
      <w:pPr>
        <w:jc w:val="both"/>
        <w:rPr>
          <w:rtl/>
        </w:rPr>
      </w:pPr>
      <w:r>
        <w:rPr>
          <w:rFonts w:hint="cs"/>
          <w:rtl/>
        </w:rPr>
        <w:t>این عبارت آخر در لسان العرب نمی باشد و یک سقطی در تقریرات آقای سیستانی وجود دارد. با مراجعه به اصل رساله</w:t>
      </w:r>
      <w:r>
        <w:rPr>
          <w:rFonts w:hint="eastAsia"/>
          <w:rtl/>
        </w:rPr>
        <w:t>‌</w:t>
      </w:r>
      <w:r>
        <w:rPr>
          <w:rFonts w:hint="cs"/>
          <w:rtl/>
        </w:rPr>
        <w:t>ی «لا ضرر» شیخ الشریعه این سقط مشخص می شود. در کلام مرحوم شیخ الشریعه دو بار کلمه «لا ضرر» تکرار شده است و همین باعث شده است از یک «لا ضرر» به «لا ضرر» دیگر قلم تجاوز کند و منجر به سقط شود.</w:t>
      </w:r>
    </w:p>
    <w:p w:rsidR="00162577" w:rsidRPr="00162577" w:rsidRDefault="00162577" w:rsidP="00162577">
      <w:pPr>
        <w:jc w:val="both"/>
        <w:rPr>
          <w:color w:val="000080"/>
        </w:rPr>
      </w:pPr>
      <w:r>
        <w:rPr>
          <w:rFonts w:hint="cs"/>
          <w:rtl/>
        </w:rPr>
        <w:t>عبارت رساله</w:t>
      </w:r>
      <w:r>
        <w:rPr>
          <w:rFonts w:hint="eastAsia"/>
          <w:rtl/>
        </w:rPr>
        <w:t>‌</w:t>
      </w:r>
      <w:r>
        <w:rPr>
          <w:rFonts w:hint="cs"/>
          <w:rtl/>
        </w:rPr>
        <w:t xml:space="preserve">ی «لا ضرر» شیخ الشریعه چنین است: </w:t>
      </w:r>
      <w:r w:rsidRPr="00162577">
        <w:rPr>
          <w:rFonts w:hint="cs"/>
          <w:color w:val="000080"/>
          <w:rtl/>
        </w:rPr>
        <w:t>«و في لسان العرب- و هو كتاب جليل في اللغة في عشرين مجلّدا- معنى قوله «لا ضرر» أي لا يضرّ الرجل أخاه، و هو ضدّ النفع، و قوله «لا ضرار» أي لا يضارّ كلّ منهما صاحبه.</w:t>
      </w:r>
    </w:p>
    <w:p w:rsidR="00162577" w:rsidRPr="00162577" w:rsidRDefault="00162577" w:rsidP="00162577">
      <w:pPr>
        <w:jc w:val="both"/>
        <w:rPr>
          <w:rtl/>
        </w:rPr>
      </w:pPr>
      <w:r w:rsidRPr="00162577">
        <w:rPr>
          <w:rFonts w:hint="cs"/>
          <w:color w:val="000080"/>
          <w:rtl/>
        </w:rPr>
        <w:t>و في الدّر المنثور للسيوطي «لا ضرر» أي لا يضرّ الرجل أخاه فينقصه شيئا من حقّه ...»</w:t>
      </w:r>
      <w:r>
        <w:rPr>
          <w:rStyle w:val="FootnoteReference"/>
          <w:color w:val="000080"/>
          <w:rtl/>
        </w:rPr>
        <w:footnoteReference w:id="7"/>
      </w:r>
    </w:p>
    <w:p w:rsidR="00D51273" w:rsidRPr="00840814" w:rsidRDefault="00840814" w:rsidP="00840814">
      <w:pPr>
        <w:jc w:val="both"/>
        <w:rPr>
          <w:rtl/>
        </w:rPr>
      </w:pPr>
      <w:r>
        <w:rPr>
          <w:rFonts w:hint="cs"/>
          <w:rtl/>
        </w:rPr>
        <w:t>از کلام آقای سیستانی استفاده می شود که در کلام مرحوم شیخ الشریعه بین «</w:t>
      </w:r>
      <w:r w:rsidRPr="00840814">
        <w:rPr>
          <w:rtl/>
        </w:rPr>
        <w:t>الدر المنثور في التفسير بالمأثور</w:t>
      </w:r>
      <w:r>
        <w:rPr>
          <w:rFonts w:hint="cs"/>
          <w:rtl/>
        </w:rPr>
        <w:t xml:space="preserve">» و </w:t>
      </w:r>
      <w:r w:rsidRPr="00840814">
        <w:rPr>
          <w:rFonts w:hint="cs"/>
          <w:rtl/>
        </w:rPr>
        <w:t>«</w:t>
      </w:r>
      <w:r>
        <w:rPr>
          <w:rFonts w:hint="cs"/>
          <w:rtl/>
        </w:rPr>
        <w:t>ا</w:t>
      </w:r>
      <w:r w:rsidRPr="00840814">
        <w:rPr>
          <w:rtl/>
        </w:rPr>
        <w:t>لدر النثیر فی تلخیص نهایه ابن کثیر</w:t>
      </w:r>
      <w:r>
        <w:rPr>
          <w:rFonts w:hint="cs"/>
          <w:rtl/>
        </w:rPr>
        <w:t>» خلط شده است و این کلام سیوطی از کتاب «الدر النثیر» می باشد.</w:t>
      </w:r>
      <w:r>
        <w:rPr>
          <w:rStyle w:val="FootnoteReference"/>
          <w:rtl/>
        </w:rPr>
        <w:footnoteReference w:id="8"/>
      </w:r>
    </w:p>
    <w:p w:rsidR="00D51273" w:rsidRDefault="007631ED" w:rsidP="00762076">
      <w:pPr>
        <w:pStyle w:val="Heading1"/>
        <w:rPr>
          <w:rtl/>
        </w:rPr>
      </w:pPr>
      <w:bookmarkStart w:id="3" w:name="_Toc40635103"/>
      <w:r>
        <w:rPr>
          <w:rFonts w:hint="cs"/>
          <w:rtl/>
        </w:rPr>
        <w:t>نتیجه</w:t>
      </w:r>
      <w:r w:rsidR="00762076">
        <w:rPr>
          <w:rFonts w:hint="eastAsia"/>
          <w:rtl/>
        </w:rPr>
        <w:t>‌</w:t>
      </w:r>
      <w:r w:rsidR="00762076">
        <w:rPr>
          <w:rFonts w:hint="cs"/>
          <w:rtl/>
        </w:rPr>
        <w:t>ی بحث در مفاد لا ضرر و لا ضرار</w:t>
      </w:r>
      <w:bookmarkEnd w:id="3"/>
    </w:p>
    <w:p w:rsidR="00D51273" w:rsidRDefault="007631ED" w:rsidP="00762076">
      <w:pPr>
        <w:jc w:val="both"/>
        <w:rPr>
          <w:rtl/>
        </w:rPr>
      </w:pPr>
      <w:r>
        <w:rPr>
          <w:rFonts w:hint="cs"/>
          <w:rtl/>
        </w:rPr>
        <w:t>به نظر ما «لا ضرر و لا ضرار» در مقام نفی مشروعیت تضرر عباد و نفی مشروعیت اضرار عباد می باشد؛ یعنی هر حکمی که به واسطه</w:t>
      </w:r>
      <w:r>
        <w:rPr>
          <w:rFonts w:hint="eastAsia"/>
          <w:rtl/>
        </w:rPr>
        <w:t>‌</w:t>
      </w:r>
      <w:r>
        <w:rPr>
          <w:rFonts w:hint="cs"/>
          <w:rtl/>
        </w:rPr>
        <w:t>ی آن متضرر شدن عباد مشروع است و اضرار عباد به یکدیگر نفی می شود</w:t>
      </w:r>
      <w:r w:rsidR="001C600E">
        <w:rPr>
          <w:rFonts w:hint="cs"/>
          <w:rtl/>
        </w:rPr>
        <w:t>.</w:t>
      </w:r>
    </w:p>
    <w:p w:rsidR="005F23A2" w:rsidRDefault="005F23A2" w:rsidP="00C15DEC">
      <w:pPr>
        <w:jc w:val="both"/>
        <w:rPr>
          <w:rtl/>
        </w:rPr>
      </w:pPr>
      <w:r>
        <w:rPr>
          <w:rFonts w:hint="cs"/>
          <w:rtl/>
        </w:rPr>
        <w:lastRenderedPageBreak/>
        <w:t xml:space="preserve">طبق این مبنای ما «لا ضرر و لا ضرار» </w:t>
      </w:r>
      <w:r w:rsidR="00AF4C6D">
        <w:rPr>
          <w:rFonts w:hint="cs"/>
          <w:rtl/>
        </w:rPr>
        <w:t>به حقوق الناس اختصاص دارد و شا</w:t>
      </w:r>
      <w:r w:rsidR="008358F4">
        <w:rPr>
          <w:rFonts w:hint="cs"/>
          <w:rtl/>
        </w:rPr>
        <w:t>مل حقوق الله نمی شود؛ بنابراین نمی توان نفی وضوی ضرری</w:t>
      </w:r>
      <w:r w:rsidR="008D3E7A">
        <w:rPr>
          <w:rFonts w:hint="cs"/>
          <w:rtl/>
        </w:rPr>
        <w:t xml:space="preserve"> و سایر حقوق الله</w:t>
      </w:r>
      <w:r w:rsidR="008358F4">
        <w:rPr>
          <w:rFonts w:hint="cs"/>
          <w:rtl/>
        </w:rPr>
        <w:t xml:space="preserve"> را از «لا ضرر» استفاده کرد.</w:t>
      </w:r>
    </w:p>
    <w:p w:rsidR="00D51273" w:rsidRDefault="009039E9" w:rsidP="00925AD6">
      <w:pPr>
        <w:jc w:val="both"/>
        <w:rPr>
          <w:rtl/>
        </w:rPr>
      </w:pPr>
      <w:r>
        <w:rPr>
          <w:rFonts w:hint="cs"/>
          <w:rtl/>
        </w:rPr>
        <w:t>اگر فقهای معاصر معصوم معنایی را از روایت بیان کرده باشند، کلامشان حجت است و می توان به فهم آن ها استناد کرد، به این معنا که با تقریر معصوم، صحت حکمی که بیان کرده اند، استفاده می شود.</w:t>
      </w:r>
    </w:p>
    <w:p w:rsidR="001604A0" w:rsidRDefault="001604A0" w:rsidP="00B725EF">
      <w:pPr>
        <w:jc w:val="both"/>
        <w:rPr>
          <w:rtl/>
        </w:rPr>
      </w:pPr>
      <w:r>
        <w:rPr>
          <w:rFonts w:hint="cs"/>
          <w:rtl/>
        </w:rPr>
        <w:t xml:space="preserve">آیت الله والد در بحث حج به این نکته اشاره کرده اند. در حج </w:t>
      </w:r>
      <w:r w:rsidR="00B725EF">
        <w:rPr>
          <w:rFonts w:hint="cs"/>
          <w:rtl/>
        </w:rPr>
        <w:t xml:space="preserve">بحثی در مورد حج مستحبی وجود دارد که آیا </w:t>
      </w:r>
      <w:r w:rsidR="00076EFA">
        <w:rPr>
          <w:rFonts w:hint="cs"/>
          <w:rtl/>
        </w:rPr>
        <w:t xml:space="preserve">حج مستحبی </w:t>
      </w:r>
      <w:r w:rsidR="00B725EF">
        <w:rPr>
          <w:rFonts w:hint="cs"/>
          <w:rtl/>
        </w:rPr>
        <w:t>با شروع واجب می شود؟ بعضی به آیه</w:t>
      </w:r>
      <w:r w:rsidR="00B725EF">
        <w:rPr>
          <w:rFonts w:hint="eastAsia"/>
          <w:rtl/>
        </w:rPr>
        <w:t>‌</w:t>
      </w:r>
      <w:r w:rsidR="00B725EF">
        <w:rPr>
          <w:rFonts w:hint="cs"/>
          <w:rtl/>
        </w:rPr>
        <w:t>ی شریفه</w:t>
      </w:r>
      <w:r w:rsidR="00B725EF">
        <w:rPr>
          <w:rFonts w:hint="eastAsia"/>
          <w:rtl/>
        </w:rPr>
        <w:t>‌</w:t>
      </w:r>
      <w:r w:rsidR="00B725EF">
        <w:rPr>
          <w:rFonts w:hint="cs"/>
          <w:rtl/>
        </w:rPr>
        <w:t>ی «لا تبطلوا اعمالکم» تمسک کرده اند</w:t>
      </w:r>
      <w:r w:rsidR="001C6B33">
        <w:rPr>
          <w:rFonts w:hint="cs"/>
          <w:rtl/>
        </w:rPr>
        <w:t xml:space="preserve"> که حج و سایر اعمال عبادی با شروع واجب می شود.</w:t>
      </w:r>
    </w:p>
    <w:p w:rsidR="00785DD7" w:rsidRDefault="00943CC6" w:rsidP="00925AD6">
      <w:pPr>
        <w:jc w:val="both"/>
        <w:rPr>
          <w:rtl/>
        </w:rPr>
      </w:pPr>
      <w:r>
        <w:rPr>
          <w:rFonts w:hint="cs"/>
          <w:rtl/>
        </w:rPr>
        <w:t>در استدلال به این آیه مناقشاتی وجود دارد. اما اگر فرض کنیم تمام فقهای معاصر ائمه علیهم السلام این معنا را از آیه استفاده کرده باشند، حکم شرعی مطابق بیان این فقهاست گرچه استدلال به این آیه صحیح نباشد؛ زیرا دلیل نداریم ائمه علیهم السلام موظف به تذکر استدلال غلط فقها بوده اند.</w:t>
      </w:r>
    </w:p>
    <w:p w:rsidR="00943CC6" w:rsidRDefault="00943CC6" w:rsidP="00943CC6">
      <w:pPr>
        <w:jc w:val="both"/>
        <w:rPr>
          <w:rtl/>
        </w:rPr>
      </w:pPr>
      <w:r>
        <w:rPr>
          <w:rFonts w:hint="cs"/>
          <w:rtl/>
        </w:rPr>
        <w:t xml:space="preserve">به همین دلیل آیت الله والد </w:t>
      </w:r>
      <w:r w:rsidR="0085131E">
        <w:rPr>
          <w:rFonts w:hint="cs"/>
          <w:rtl/>
        </w:rPr>
        <w:t xml:space="preserve">در مورد اجماع مدرکی </w:t>
      </w:r>
      <w:r>
        <w:rPr>
          <w:rFonts w:hint="cs"/>
          <w:rtl/>
        </w:rPr>
        <w:t>می فرماید: اگر مدرک اجماع مشخص باشد و متصل به زمان معصوم علیه السلام باشد، با تقریر معصوم علیه السلام، صحت فتوای مجمع علیه استفاده می شود، گرچه نحوه</w:t>
      </w:r>
      <w:r>
        <w:rPr>
          <w:rFonts w:hint="eastAsia"/>
          <w:rtl/>
        </w:rPr>
        <w:t>‌</w:t>
      </w:r>
      <w:r>
        <w:rPr>
          <w:rFonts w:hint="cs"/>
          <w:rtl/>
        </w:rPr>
        <w:t>ی استناد و صحت مستند فقها استفاده نمی شود.</w:t>
      </w:r>
    </w:p>
    <w:p w:rsidR="00943CC6" w:rsidRDefault="00B55A4C" w:rsidP="00925AD6">
      <w:pPr>
        <w:jc w:val="both"/>
        <w:rPr>
          <w:rtl/>
        </w:rPr>
      </w:pPr>
      <w:r>
        <w:rPr>
          <w:rFonts w:hint="cs"/>
          <w:rtl/>
        </w:rPr>
        <w:t>در بحث ما هم اگر فقهای معاصر معصوم معنایی را استفاده کرده باشند، آن مفاد را می پذیریم اما در مورد «</w:t>
      </w:r>
      <w:r w:rsidR="003602F9">
        <w:rPr>
          <w:rFonts w:hint="cs"/>
          <w:rtl/>
        </w:rPr>
        <w:t>لا ضرر» چنین چیزی ثابت نیست.</w:t>
      </w:r>
      <w:r w:rsidR="003602F9">
        <w:rPr>
          <w:rStyle w:val="FootnoteReference"/>
          <w:rtl/>
        </w:rPr>
        <w:footnoteReference w:id="9"/>
      </w:r>
    </w:p>
    <w:p w:rsidR="00785DD7" w:rsidRPr="006162A2" w:rsidRDefault="00785DD7" w:rsidP="00925AD6">
      <w:pPr>
        <w:jc w:val="both"/>
        <w:rPr>
          <w:rtl/>
        </w:rPr>
      </w:pPr>
    </w:p>
    <w:sectPr w:rsidR="00785DD7"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8D7" w:rsidRDefault="001638D7" w:rsidP="008B750B">
      <w:pPr>
        <w:spacing w:line="240" w:lineRule="auto"/>
      </w:pPr>
      <w:r>
        <w:separator/>
      </w:r>
    </w:p>
  </w:endnote>
  <w:endnote w:type="continuationSeparator" w:id="0">
    <w:p w:rsidR="001638D7" w:rsidRDefault="001638D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1604A0" w:rsidRPr="006D44C1" w:rsidTr="0020241A">
      <w:tc>
        <w:tcPr>
          <w:tcW w:w="3382" w:type="dxa"/>
          <w:tcBorders>
            <w:top w:val="nil"/>
            <w:left w:val="nil"/>
            <w:bottom w:val="nil"/>
            <w:right w:val="nil"/>
          </w:tcBorders>
        </w:tcPr>
        <w:p w:rsidR="001604A0" w:rsidRDefault="001604A0" w:rsidP="006D44C1">
          <w:pPr>
            <w:pStyle w:val="Footer"/>
            <w:rPr>
              <w:rtl/>
            </w:rPr>
          </w:pPr>
        </w:p>
      </w:tc>
      <w:tc>
        <w:tcPr>
          <w:tcW w:w="2252" w:type="dxa"/>
          <w:tcBorders>
            <w:top w:val="nil"/>
            <w:left w:val="nil"/>
            <w:bottom w:val="nil"/>
            <w:right w:val="nil"/>
          </w:tcBorders>
          <w:vAlign w:val="center"/>
        </w:tcPr>
        <w:p w:rsidR="001604A0" w:rsidRDefault="001604A0" w:rsidP="006D44C1">
          <w:pPr>
            <w:pStyle w:val="Footer"/>
            <w:jc w:val="right"/>
            <w:rPr>
              <w:rtl/>
            </w:rPr>
          </w:pPr>
          <w:r>
            <w:rPr>
              <w:rFonts w:hint="cs"/>
              <w:rtl/>
            </w:rPr>
            <w:t xml:space="preserve">صفحه </w:t>
          </w:r>
          <w:r>
            <w:fldChar w:fldCharType="begin"/>
          </w:r>
          <w:r>
            <w:instrText>PAGE   \* MERGEFORMAT</w:instrText>
          </w:r>
          <w:r>
            <w:fldChar w:fldCharType="separate"/>
          </w:r>
          <w:r w:rsidR="000E301A" w:rsidRPr="000E301A">
            <w:rPr>
              <w:noProof/>
              <w:rtl/>
              <w:lang w:val="fa-IR"/>
            </w:rPr>
            <w:t>5</w:t>
          </w:r>
          <w:r>
            <w:rPr>
              <w:noProof/>
            </w:rPr>
            <w:fldChar w:fldCharType="end"/>
          </w:r>
        </w:p>
      </w:tc>
      <w:tc>
        <w:tcPr>
          <w:tcW w:w="4786" w:type="dxa"/>
          <w:tcBorders>
            <w:top w:val="nil"/>
            <w:left w:val="nil"/>
            <w:bottom w:val="nil"/>
            <w:right w:val="nil"/>
          </w:tcBorders>
          <w:vAlign w:val="center"/>
        </w:tcPr>
        <w:p w:rsidR="001604A0" w:rsidRPr="006D44C1" w:rsidRDefault="001604A0" w:rsidP="001B6799">
          <w:pPr>
            <w:pStyle w:val="Footer"/>
            <w:bidi w:val="0"/>
            <w:rPr>
              <w:color w:val="808080" w:themeColor="background1" w:themeShade="80"/>
              <w:rtl/>
            </w:rPr>
          </w:pPr>
          <w:bookmarkStart w:id="11" w:name="BokAdres"/>
          <w:bookmarkEnd w:id="11"/>
          <w:r>
            <w:rPr>
              <w:color w:val="808080" w:themeColor="background1" w:themeShade="80"/>
            </w:rPr>
            <w:t>U1js1_13981220-090_ga1_mfeb.ir</w:t>
          </w:r>
        </w:p>
      </w:tc>
    </w:tr>
  </w:tbl>
  <w:p w:rsidR="001604A0" w:rsidRDefault="001604A0"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8D7" w:rsidRDefault="001638D7" w:rsidP="008B750B">
      <w:pPr>
        <w:spacing w:line="240" w:lineRule="auto"/>
      </w:pPr>
      <w:r>
        <w:separator/>
      </w:r>
    </w:p>
  </w:footnote>
  <w:footnote w:type="continuationSeparator" w:id="0">
    <w:p w:rsidR="001638D7" w:rsidRDefault="001638D7" w:rsidP="008B750B">
      <w:pPr>
        <w:spacing w:line="240" w:lineRule="auto"/>
      </w:pPr>
      <w:r>
        <w:continuationSeparator/>
      </w:r>
    </w:p>
  </w:footnote>
  <w:footnote w:id="1">
    <w:p w:rsidR="001604A0" w:rsidRDefault="001604A0">
      <w:pPr>
        <w:pStyle w:val="FootnoteText"/>
      </w:pPr>
      <w:r>
        <w:rPr>
          <w:rStyle w:val="FootnoteReference"/>
        </w:rPr>
        <w:footnoteRef/>
      </w:r>
      <w:r>
        <w:rPr>
          <w:rtl/>
        </w:rPr>
        <w:t xml:space="preserve"> </w:t>
      </w:r>
      <w:hyperlink r:id="rId1" w:history="1">
        <w:r w:rsidRPr="0009190E">
          <w:rPr>
            <w:rStyle w:val="Hyperlink"/>
            <w:rtl/>
          </w:rPr>
          <w:t>قاعدة لا ضرر و</w:t>
        </w:r>
        <w:r w:rsidRPr="0009190E">
          <w:rPr>
            <w:rStyle w:val="Hyperlink"/>
            <w:rFonts w:hint="cs"/>
            <w:rtl/>
          </w:rPr>
          <w:t xml:space="preserve"> </w:t>
        </w:r>
        <w:r w:rsidRPr="0009190E">
          <w:rPr>
            <w:rStyle w:val="Hyperlink"/>
            <w:rtl/>
          </w:rPr>
          <w:t>لا ضرار</w:t>
        </w:r>
        <w:r w:rsidRPr="0009190E">
          <w:rPr>
            <w:rStyle w:val="Hyperlink"/>
            <w:rFonts w:hint="cs"/>
            <w:rtl/>
          </w:rPr>
          <w:t xml:space="preserve">، </w:t>
        </w:r>
        <w:r w:rsidRPr="0009190E">
          <w:rPr>
            <w:rStyle w:val="Hyperlink"/>
            <w:rtl/>
          </w:rPr>
          <w:t>السيد علي</w:t>
        </w:r>
        <w:r w:rsidRPr="0009190E">
          <w:rPr>
            <w:rStyle w:val="Hyperlink"/>
            <w:rFonts w:hint="cs"/>
            <w:rtl/>
          </w:rPr>
          <w:t xml:space="preserve"> </w:t>
        </w:r>
        <w:r w:rsidRPr="0009190E">
          <w:rPr>
            <w:rStyle w:val="Hyperlink"/>
            <w:rtl/>
          </w:rPr>
          <w:t>السيستاني</w:t>
        </w:r>
        <w:r w:rsidRPr="0009190E">
          <w:rPr>
            <w:rStyle w:val="Hyperlink"/>
            <w:rFonts w:hint="cs"/>
            <w:rtl/>
          </w:rPr>
          <w:t xml:space="preserve">، </w:t>
        </w:r>
        <w:r w:rsidRPr="0009190E">
          <w:rPr>
            <w:rStyle w:val="Hyperlink"/>
            <w:rtl/>
          </w:rPr>
          <w:t>ج 1</w:t>
        </w:r>
        <w:r w:rsidRPr="0009190E">
          <w:rPr>
            <w:rStyle w:val="Hyperlink"/>
            <w:rFonts w:hint="cs"/>
            <w:rtl/>
          </w:rPr>
          <w:t>،</w:t>
        </w:r>
        <w:r w:rsidRPr="0009190E">
          <w:rPr>
            <w:rStyle w:val="Hyperlink"/>
            <w:rtl/>
          </w:rPr>
          <w:t xml:space="preserve"> ص </w:t>
        </w:r>
        <w:r w:rsidRPr="0009190E">
          <w:rPr>
            <w:rStyle w:val="Hyperlink"/>
            <w:rFonts w:hint="cs"/>
            <w:rtl/>
          </w:rPr>
          <w:t>230</w:t>
        </w:r>
      </w:hyperlink>
    </w:p>
  </w:footnote>
  <w:footnote w:id="2">
    <w:p w:rsidR="001604A0" w:rsidRDefault="001604A0">
      <w:pPr>
        <w:pStyle w:val="FootnoteText"/>
      </w:pPr>
      <w:r>
        <w:rPr>
          <w:rStyle w:val="FootnoteReference"/>
        </w:rPr>
        <w:footnoteRef/>
      </w:r>
      <w:r>
        <w:rPr>
          <w:rtl/>
        </w:rPr>
        <w:t xml:space="preserve"> </w:t>
      </w:r>
      <w:hyperlink r:id="rId2" w:history="1">
        <w:r w:rsidRPr="00277529">
          <w:rPr>
            <w:rStyle w:val="Hyperlink"/>
            <w:rtl/>
          </w:rPr>
          <w:t>قاعدة لا ضرر و</w:t>
        </w:r>
        <w:r w:rsidRPr="00277529">
          <w:rPr>
            <w:rStyle w:val="Hyperlink"/>
            <w:rFonts w:hint="cs"/>
            <w:rtl/>
          </w:rPr>
          <w:t xml:space="preserve"> </w:t>
        </w:r>
        <w:r w:rsidRPr="00277529">
          <w:rPr>
            <w:rStyle w:val="Hyperlink"/>
            <w:rtl/>
          </w:rPr>
          <w:t>لا ضرار</w:t>
        </w:r>
        <w:r w:rsidRPr="00277529">
          <w:rPr>
            <w:rStyle w:val="Hyperlink"/>
            <w:rFonts w:hint="cs"/>
            <w:rtl/>
          </w:rPr>
          <w:t xml:space="preserve">، </w:t>
        </w:r>
        <w:r w:rsidRPr="00277529">
          <w:rPr>
            <w:rStyle w:val="Hyperlink"/>
            <w:rtl/>
          </w:rPr>
          <w:t>السيد علي</w:t>
        </w:r>
        <w:r w:rsidRPr="00277529">
          <w:rPr>
            <w:rStyle w:val="Hyperlink"/>
            <w:rFonts w:hint="cs"/>
            <w:rtl/>
          </w:rPr>
          <w:t xml:space="preserve"> </w:t>
        </w:r>
        <w:r w:rsidRPr="00277529">
          <w:rPr>
            <w:rStyle w:val="Hyperlink"/>
            <w:rtl/>
          </w:rPr>
          <w:t>السيستاني</w:t>
        </w:r>
        <w:r w:rsidRPr="00277529">
          <w:rPr>
            <w:rStyle w:val="Hyperlink"/>
            <w:rFonts w:hint="cs"/>
            <w:rtl/>
          </w:rPr>
          <w:t xml:space="preserve">، </w:t>
        </w:r>
        <w:r w:rsidRPr="00277529">
          <w:rPr>
            <w:rStyle w:val="Hyperlink"/>
            <w:rtl/>
          </w:rPr>
          <w:t>ج 1</w:t>
        </w:r>
        <w:r w:rsidRPr="00277529">
          <w:rPr>
            <w:rStyle w:val="Hyperlink"/>
            <w:rFonts w:hint="cs"/>
            <w:rtl/>
          </w:rPr>
          <w:t>،</w:t>
        </w:r>
        <w:r w:rsidRPr="00277529">
          <w:rPr>
            <w:rStyle w:val="Hyperlink"/>
            <w:rtl/>
          </w:rPr>
          <w:t xml:space="preserve"> ص </w:t>
        </w:r>
        <w:r w:rsidRPr="00277529">
          <w:rPr>
            <w:rStyle w:val="Hyperlink"/>
            <w:rFonts w:hint="cs"/>
            <w:rtl/>
          </w:rPr>
          <w:t>178</w:t>
        </w:r>
      </w:hyperlink>
    </w:p>
  </w:footnote>
  <w:footnote w:id="3">
    <w:p w:rsidR="001604A0" w:rsidRPr="008F47A4" w:rsidRDefault="001604A0" w:rsidP="008F47A4">
      <w:pPr>
        <w:pStyle w:val="FootnoteText"/>
      </w:pPr>
      <w:r w:rsidRPr="008F47A4">
        <w:footnoteRef/>
      </w:r>
      <w:r w:rsidRPr="008F47A4">
        <w:rPr>
          <w:rtl/>
        </w:rPr>
        <w:t xml:space="preserve"> </w:t>
      </w:r>
      <w:hyperlink r:id="rId3" w:history="1">
        <w:r w:rsidRPr="008F47A4">
          <w:rPr>
            <w:rStyle w:val="Hyperlink"/>
            <w:rFonts w:hint="eastAsia"/>
            <w:rtl/>
          </w:rPr>
          <w:t>قاعدة</w:t>
        </w:r>
        <w:r w:rsidRPr="008F47A4">
          <w:rPr>
            <w:rStyle w:val="Hyperlink"/>
            <w:rtl/>
          </w:rPr>
          <w:t xml:space="preserve"> لا ضرر و لا ضرار، الس</w:t>
        </w:r>
        <w:r w:rsidRPr="008F47A4">
          <w:rPr>
            <w:rStyle w:val="Hyperlink"/>
            <w:rFonts w:hint="cs"/>
            <w:rtl/>
          </w:rPr>
          <w:t>ی</w:t>
        </w:r>
        <w:r w:rsidRPr="008F47A4">
          <w:rPr>
            <w:rStyle w:val="Hyperlink"/>
            <w:rFonts w:hint="eastAsia"/>
            <w:rtl/>
          </w:rPr>
          <w:t>د</w:t>
        </w:r>
        <w:r w:rsidRPr="008F47A4">
          <w:rPr>
            <w:rStyle w:val="Hyperlink"/>
            <w:rtl/>
          </w:rPr>
          <w:t xml:space="preserve"> عل</w:t>
        </w:r>
        <w:r w:rsidRPr="008F47A4">
          <w:rPr>
            <w:rStyle w:val="Hyperlink"/>
            <w:rFonts w:hint="cs"/>
            <w:rtl/>
          </w:rPr>
          <w:t>ی</w:t>
        </w:r>
        <w:r w:rsidRPr="008F47A4">
          <w:rPr>
            <w:rStyle w:val="Hyperlink"/>
            <w:rtl/>
          </w:rPr>
          <w:t xml:space="preserve"> الس</w:t>
        </w:r>
        <w:r w:rsidRPr="008F47A4">
          <w:rPr>
            <w:rStyle w:val="Hyperlink"/>
            <w:rFonts w:hint="cs"/>
            <w:rtl/>
          </w:rPr>
          <w:t>ی</w:t>
        </w:r>
        <w:r w:rsidRPr="008F47A4">
          <w:rPr>
            <w:rStyle w:val="Hyperlink"/>
            <w:rFonts w:hint="eastAsia"/>
            <w:rtl/>
          </w:rPr>
          <w:t>ستان</w:t>
        </w:r>
        <w:r w:rsidRPr="008F47A4">
          <w:rPr>
            <w:rStyle w:val="Hyperlink"/>
            <w:rFonts w:hint="cs"/>
            <w:rtl/>
          </w:rPr>
          <w:t>ی</w:t>
        </w:r>
        <w:r w:rsidRPr="008F47A4">
          <w:rPr>
            <w:rStyle w:val="Hyperlink"/>
            <w:rFonts w:hint="eastAsia"/>
            <w:rtl/>
          </w:rPr>
          <w:t>،</w:t>
        </w:r>
        <w:r w:rsidRPr="008F47A4">
          <w:rPr>
            <w:rStyle w:val="Hyperlink"/>
            <w:rtl/>
          </w:rPr>
          <w:t xml:space="preserve"> ج1، ص178.</w:t>
        </w:r>
      </w:hyperlink>
    </w:p>
  </w:footnote>
  <w:footnote w:id="4">
    <w:p w:rsidR="001604A0" w:rsidRDefault="001604A0">
      <w:pPr>
        <w:pStyle w:val="FootnoteText"/>
      </w:pPr>
      <w:r>
        <w:rPr>
          <w:rStyle w:val="FootnoteReference"/>
        </w:rPr>
        <w:footnoteRef/>
      </w:r>
      <w:r>
        <w:rPr>
          <w:rtl/>
        </w:rPr>
        <w:t xml:space="preserve"> </w:t>
      </w:r>
      <w:r w:rsidRPr="00621E55">
        <w:rPr>
          <w:rtl/>
        </w:rPr>
        <w:t>قاع</w:t>
      </w:r>
      <w:r>
        <w:rPr>
          <w:rtl/>
        </w:rPr>
        <w:t>دة لا ضرر (لشيخ الشريعة)، ص: 2</w:t>
      </w:r>
      <w:r>
        <w:rPr>
          <w:rFonts w:hint="cs"/>
          <w:rtl/>
        </w:rPr>
        <w:t>5</w:t>
      </w:r>
    </w:p>
  </w:footnote>
  <w:footnote w:id="5">
    <w:p w:rsidR="001604A0" w:rsidRDefault="001604A0">
      <w:pPr>
        <w:pStyle w:val="FootnoteText"/>
      </w:pPr>
      <w:r>
        <w:rPr>
          <w:rStyle w:val="FootnoteReference"/>
        </w:rPr>
        <w:footnoteRef/>
      </w:r>
      <w:r>
        <w:rPr>
          <w:rtl/>
        </w:rPr>
        <w:t xml:space="preserve"> </w:t>
      </w:r>
      <w:r w:rsidRPr="00E60BE9">
        <w:rPr>
          <w:rtl/>
        </w:rPr>
        <w:t>قاعدة لا ضرر (لشيخ الشريعة)، ص: 26‌</w:t>
      </w:r>
    </w:p>
  </w:footnote>
  <w:footnote w:id="6">
    <w:p w:rsidR="001604A0" w:rsidRPr="00C411B3" w:rsidRDefault="001604A0" w:rsidP="00C411B3">
      <w:pPr>
        <w:pStyle w:val="FootnoteText"/>
      </w:pPr>
      <w:r w:rsidRPr="00C411B3">
        <w:footnoteRef/>
      </w:r>
      <w:r w:rsidRPr="00C411B3">
        <w:rPr>
          <w:rtl/>
        </w:rPr>
        <w:t xml:space="preserve"> </w:t>
      </w:r>
      <w:hyperlink r:id="rId4" w:history="1">
        <w:r w:rsidRPr="00C411B3">
          <w:rPr>
            <w:rStyle w:val="Hyperlink"/>
            <w:rtl/>
          </w:rPr>
          <w:t>قاعدة لا ضرر و لا ضرار، الس</w:t>
        </w:r>
        <w:r w:rsidRPr="00C411B3">
          <w:rPr>
            <w:rStyle w:val="Hyperlink"/>
            <w:rFonts w:hint="cs"/>
            <w:rtl/>
          </w:rPr>
          <w:t>ی</w:t>
        </w:r>
        <w:r w:rsidRPr="00C411B3">
          <w:rPr>
            <w:rStyle w:val="Hyperlink"/>
            <w:rFonts w:hint="eastAsia"/>
            <w:rtl/>
          </w:rPr>
          <w:t>د</w:t>
        </w:r>
        <w:r w:rsidRPr="00C411B3">
          <w:rPr>
            <w:rStyle w:val="Hyperlink"/>
            <w:rtl/>
          </w:rPr>
          <w:t xml:space="preserve"> عل</w:t>
        </w:r>
        <w:r w:rsidRPr="00C411B3">
          <w:rPr>
            <w:rStyle w:val="Hyperlink"/>
            <w:rFonts w:hint="cs"/>
            <w:rtl/>
          </w:rPr>
          <w:t>ی</w:t>
        </w:r>
        <w:r w:rsidRPr="00C411B3">
          <w:rPr>
            <w:rStyle w:val="Hyperlink"/>
            <w:rtl/>
          </w:rPr>
          <w:t xml:space="preserve"> الس</w:t>
        </w:r>
        <w:r w:rsidRPr="00C411B3">
          <w:rPr>
            <w:rStyle w:val="Hyperlink"/>
            <w:rFonts w:hint="cs"/>
            <w:rtl/>
          </w:rPr>
          <w:t>ی</w:t>
        </w:r>
        <w:r w:rsidRPr="00C411B3">
          <w:rPr>
            <w:rStyle w:val="Hyperlink"/>
            <w:rFonts w:hint="eastAsia"/>
            <w:rtl/>
          </w:rPr>
          <w:t>ستان</w:t>
        </w:r>
        <w:r w:rsidRPr="00C411B3">
          <w:rPr>
            <w:rStyle w:val="Hyperlink"/>
            <w:rFonts w:hint="cs"/>
            <w:rtl/>
          </w:rPr>
          <w:t>ی</w:t>
        </w:r>
        <w:r w:rsidRPr="00C411B3">
          <w:rPr>
            <w:rStyle w:val="Hyperlink"/>
            <w:rFonts w:hint="eastAsia"/>
            <w:rtl/>
          </w:rPr>
          <w:t>،</w:t>
        </w:r>
        <w:r w:rsidRPr="00C411B3">
          <w:rPr>
            <w:rStyle w:val="Hyperlink"/>
            <w:rtl/>
          </w:rPr>
          <w:t xml:space="preserve"> ج1، ص172.</w:t>
        </w:r>
      </w:hyperlink>
    </w:p>
  </w:footnote>
  <w:footnote w:id="7">
    <w:p w:rsidR="001604A0" w:rsidRDefault="001604A0" w:rsidP="00162577">
      <w:pPr>
        <w:pStyle w:val="FootnoteText"/>
      </w:pPr>
      <w:r>
        <w:rPr>
          <w:rStyle w:val="FootnoteReference"/>
        </w:rPr>
        <w:footnoteRef/>
      </w:r>
      <w:r>
        <w:rPr>
          <w:rtl/>
        </w:rPr>
        <w:t xml:space="preserve"> </w:t>
      </w:r>
      <w:r w:rsidRPr="00162577">
        <w:rPr>
          <w:rFonts w:hint="cs"/>
          <w:rtl/>
        </w:rPr>
        <w:t>قاعدة لا ضرر (لشيخ الشريعة)، ص: 27‌</w:t>
      </w:r>
    </w:p>
  </w:footnote>
  <w:footnote w:id="8">
    <w:p w:rsidR="001604A0" w:rsidRDefault="001604A0">
      <w:pPr>
        <w:pStyle w:val="FootnoteText"/>
      </w:pPr>
      <w:r>
        <w:rPr>
          <w:rStyle w:val="FootnoteReference"/>
        </w:rPr>
        <w:footnoteRef/>
      </w:r>
      <w:r>
        <w:rPr>
          <w:rtl/>
        </w:rPr>
        <w:t xml:space="preserve"> </w:t>
      </w:r>
      <w:r>
        <w:rPr>
          <w:rFonts w:hint="cs"/>
          <w:rtl/>
        </w:rPr>
        <w:t>البته باید خودمان مراجعه کنیم.</w:t>
      </w:r>
    </w:p>
  </w:footnote>
  <w:footnote w:id="9">
    <w:p w:rsidR="003602F9" w:rsidRDefault="003602F9">
      <w:pPr>
        <w:pStyle w:val="FootnoteText"/>
      </w:pPr>
      <w:r>
        <w:rPr>
          <w:rStyle w:val="FootnoteReference"/>
        </w:rPr>
        <w:footnoteRef/>
      </w:r>
      <w:r>
        <w:rPr>
          <w:rtl/>
        </w:rPr>
        <w:t xml:space="preserve"> </w:t>
      </w:r>
      <w:r>
        <w:rPr>
          <w:rFonts w:hint="cs"/>
          <w:rtl/>
        </w:rPr>
        <w:t>این مطلب هم نیاز به تتبع دارد.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4A0" w:rsidRPr="001D2E9A" w:rsidRDefault="001604A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4" w:name="BokNum"/>
    <w:bookmarkEnd w:id="4"/>
    <w:r>
      <w:rPr>
        <w:b/>
        <w:bCs/>
        <w:sz w:val="20"/>
        <w:szCs w:val="24"/>
        <w:rtl/>
      </w:rPr>
      <w:t>090</w:t>
    </w:r>
    <w:r>
      <w:rPr>
        <w:rFonts w:hint="cs"/>
        <w:b/>
        <w:bCs/>
        <w:sz w:val="20"/>
        <w:szCs w:val="24"/>
        <w:rtl/>
      </w:rPr>
      <w:tab/>
    </w:r>
    <w:r w:rsidRPr="00C32A7E">
      <w:rPr>
        <w:rFonts w:hint="cs"/>
        <w:b/>
        <w:bCs/>
        <w:color w:val="632423" w:themeColor="accent2" w:themeShade="80"/>
        <w:sz w:val="20"/>
        <w:szCs w:val="24"/>
        <w:rtl/>
      </w:rPr>
      <w:t xml:space="preserve">درس خارج </w:t>
    </w:r>
    <w:bookmarkStart w:id="5" w:name="Bokdars"/>
    <w:bookmarkEnd w:id="5"/>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6" w:name="Bokostad"/>
    <w:bookmarkEnd w:id="6"/>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7" w:name="BokTarikh"/>
    <w:bookmarkEnd w:id="7"/>
    <w:r>
      <w:rPr>
        <w:sz w:val="24"/>
        <w:szCs w:val="24"/>
        <w:rtl/>
      </w:rPr>
      <w:t>20 /12 /1398</w:t>
    </w:r>
  </w:p>
  <w:p w:rsidR="001604A0" w:rsidRPr="00F16B53" w:rsidRDefault="001604A0" w:rsidP="000E7A7F">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8" w:name="BokSabj"/>
    <w:bookmarkEnd w:id="8"/>
    <w:r>
      <w:rPr>
        <w:color w:val="000000" w:themeColor="text1"/>
        <w:sz w:val="24"/>
        <w:szCs w:val="24"/>
        <w:rtl/>
      </w:rPr>
      <w:t>مفاد حد</w:t>
    </w:r>
    <w:r>
      <w:rPr>
        <w:rFonts w:hint="cs"/>
        <w:color w:val="000000" w:themeColor="text1"/>
        <w:sz w:val="24"/>
        <w:szCs w:val="24"/>
        <w:rtl/>
      </w:rPr>
      <w:t>ی</w:t>
    </w:r>
    <w:r>
      <w:rPr>
        <w:rFonts w:hint="eastAsia"/>
        <w:color w:val="000000" w:themeColor="text1"/>
        <w:sz w:val="24"/>
        <w:szCs w:val="24"/>
        <w:rtl/>
      </w:rPr>
      <w:t>ث</w:t>
    </w:r>
    <w:r>
      <w:rPr>
        <w:color w:val="000000" w:themeColor="text1"/>
        <w:sz w:val="24"/>
        <w:szCs w:val="24"/>
        <w:rtl/>
      </w:rPr>
      <w:t xml:space="preserve"> لا ضرر </w:t>
    </w:r>
    <w:r w:rsidR="008B4D1C">
      <w:rPr>
        <w:rFonts w:hint="cs"/>
        <w:color w:val="000000" w:themeColor="text1"/>
        <w:sz w:val="24"/>
        <w:szCs w:val="24"/>
        <w:rtl/>
      </w:rPr>
      <w:t xml:space="preserve">  </w:t>
    </w:r>
    <w:r w:rsidRPr="001D2E9A">
      <w:rPr>
        <w:rFonts w:hint="cs"/>
        <w:b/>
        <w:bCs/>
        <w:color w:val="7030A0"/>
        <w:sz w:val="24"/>
        <w:szCs w:val="24"/>
        <w:rtl/>
      </w:rPr>
      <w:t>مقرر</w:t>
    </w:r>
    <w:r>
      <w:rPr>
        <w:rFonts w:hint="cs"/>
        <w:sz w:val="24"/>
        <w:szCs w:val="24"/>
        <w:rtl/>
      </w:rPr>
      <w:t xml:space="preserve">: </w:t>
    </w:r>
    <w:bookmarkStart w:id="9" w:name="Bokmoqarer"/>
    <w:bookmarkEnd w:id="9"/>
    <w:r w:rsidR="00D05677">
      <w:rPr>
        <w:rFonts w:hint="cs"/>
        <w:sz w:val="24"/>
        <w:szCs w:val="24"/>
        <w:rtl/>
      </w:rPr>
      <w:t xml:space="preserve">مرکز فقهی امام محمد باقر </w:t>
    </w:r>
    <w:r w:rsidR="000E7A7F" w:rsidRPr="008B4D1C">
      <w:rPr>
        <w:rFonts w:hint="cs"/>
        <w:sz w:val="24"/>
        <w:szCs w:val="24"/>
        <w:rtl/>
      </w:rPr>
      <w:t>علیه السلام</w:t>
    </w:r>
    <w:r>
      <w:rPr>
        <w:rFonts w:hint="cs"/>
        <w:sz w:val="24"/>
        <w:szCs w:val="24"/>
        <w:rtl/>
      </w:rPr>
      <w:tab/>
    </w:r>
    <w:r w:rsidR="008B4D1C">
      <w:rPr>
        <w:rFonts w:hint="cs"/>
        <w:sz w:val="24"/>
        <w:szCs w:val="24"/>
        <w:rtl/>
      </w:rPr>
      <w:t xml:space="preserve"> - کاظمی</w:t>
    </w:r>
    <w:r w:rsidR="000E7A7F">
      <w:rPr>
        <w:rFonts w:hint="cs"/>
        <w:sz w:val="24"/>
        <w:szCs w:val="24"/>
        <w:rtl/>
      </w:rPr>
      <w:t xml:space="preserve"> </w:t>
    </w:r>
    <w:r w:rsidR="008B4D1C">
      <w:rPr>
        <w:rFonts w:hint="cs"/>
        <w:b/>
        <w:bCs/>
        <w:color w:val="7030A0"/>
        <w:sz w:val="24"/>
        <w:szCs w:val="24"/>
        <w:rtl/>
      </w:rPr>
      <w:t xml:space="preserve"> </w:t>
    </w:r>
    <w:r w:rsidRPr="001D2E9A">
      <w:rPr>
        <w:rFonts w:hint="cs"/>
        <w:b/>
        <w:bCs/>
        <w:color w:val="7030A0"/>
        <w:sz w:val="24"/>
        <w:szCs w:val="24"/>
        <w:rtl/>
      </w:rPr>
      <w:t>موضوع خاص</w:t>
    </w:r>
    <w:r>
      <w:rPr>
        <w:rFonts w:hint="cs"/>
        <w:sz w:val="24"/>
        <w:szCs w:val="24"/>
        <w:rtl/>
      </w:rPr>
      <w:t xml:space="preserve">: </w:t>
    </w:r>
    <w:bookmarkStart w:id="10" w:name="BokSabj2"/>
    <w:bookmarkEnd w:id="10"/>
    <w:r>
      <w:rPr>
        <w:sz w:val="24"/>
        <w:szCs w:val="24"/>
        <w:rtl/>
      </w:rPr>
      <w:t>مفاد ه</w:t>
    </w:r>
    <w:r>
      <w:rPr>
        <w:rFonts w:hint="cs"/>
        <w:sz w:val="24"/>
        <w:szCs w:val="24"/>
        <w:rtl/>
      </w:rPr>
      <w:t>ی</w:t>
    </w:r>
    <w:r>
      <w:rPr>
        <w:rFonts w:hint="eastAsia"/>
        <w:sz w:val="24"/>
        <w:szCs w:val="24"/>
        <w:rtl/>
      </w:rPr>
      <w:t>ئت</w:t>
    </w:r>
    <w:r>
      <w:rPr>
        <w:sz w:val="24"/>
        <w:szCs w:val="24"/>
        <w:rtl/>
      </w:rPr>
      <w:t xml:space="preserve"> ترک</w:t>
    </w:r>
    <w:r>
      <w:rPr>
        <w:rFonts w:hint="cs"/>
        <w:sz w:val="24"/>
        <w:szCs w:val="24"/>
        <w:rtl/>
      </w:rPr>
      <w:t>ی</w:t>
    </w:r>
    <w:r>
      <w:rPr>
        <w:rFonts w:hint="eastAsia"/>
        <w:sz w:val="24"/>
        <w:szCs w:val="24"/>
        <w:rtl/>
      </w:rPr>
      <w:t>ب</w:t>
    </w:r>
    <w:r>
      <w:rPr>
        <w:rFonts w:hint="cs"/>
        <w:sz w:val="24"/>
        <w:szCs w:val="24"/>
        <w:rtl/>
      </w:rPr>
      <w:t>ی</w:t>
    </w:r>
    <w:r>
      <w:rPr>
        <w:sz w:val="24"/>
        <w:szCs w:val="24"/>
        <w:rtl/>
      </w:rPr>
      <w:t xml:space="preserve"> لا ضرر و لا ضرار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A343E"/>
    <w:multiLevelType w:val="hybridMultilevel"/>
    <w:tmpl w:val="77F21D4E"/>
    <w:lvl w:ilvl="0" w:tplc="8EC0F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76EFA"/>
    <w:rsid w:val="00080A41"/>
    <w:rsid w:val="0008299B"/>
    <w:rsid w:val="000913AA"/>
    <w:rsid w:val="0009190E"/>
    <w:rsid w:val="00094847"/>
    <w:rsid w:val="00096C63"/>
    <w:rsid w:val="000B231A"/>
    <w:rsid w:val="000B5DB5"/>
    <w:rsid w:val="000B6F1E"/>
    <w:rsid w:val="000C3947"/>
    <w:rsid w:val="000D2A37"/>
    <w:rsid w:val="000D30E9"/>
    <w:rsid w:val="000D6818"/>
    <w:rsid w:val="000D6D2F"/>
    <w:rsid w:val="000E301A"/>
    <w:rsid w:val="000E335E"/>
    <w:rsid w:val="000E7A7F"/>
    <w:rsid w:val="000F16CF"/>
    <w:rsid w:val="000F5BAC"/>
    <w:rsid w:val="00102585"/>
    <w:rsid w:val="00114AB7"/>
    <w:rsid w:val="00116B2B"/>
    <w:rsid w:val="00124E3D"/>
    <w:rsid w:val="00127E95"/>
    <w:rsid w:val="00130659"/>
    <w:rsid w:val="001347C7"/>
    <w:rsid w:val="001356B0"/>
    <w:rsid w:val="00151937"/>
    <w:rsid w:val="00153FA2"/>
    <w:rsid w:val="001604A0"/>
    <w:rsid w:val="00162577"/>
    <w:rsid w:val="001638D7"/>
    <w:rsid w:val="001720D0"/>
    <w:rsid w:val="00181844"/>
    <w:rsid w:val="001837E9"/>
    <w:rsid w:val="00187DFA"/>
    <w:rsid w:val="001A1BC1"/>
    <w:rsid w:val="001A1EA5"/>
    <w:rsid w:val="001A2574"/>
    <w:rsid w:val="001A27D7"/>
    <w:rsid w:val="001A294E"/>
    <w:rsid w:val="001A4ED8"/>
    <w:rsid w:val="001A5308"/>
    <w:rsid w:val="001B2488"/>
    <w:rsid w:val="001B6799"/>
    <w:rsid w:val="001C1362"/>
    <w:rsid w:val="001C600E"/>
    <w:rsid w:val="001C67D7"/>
    <w:rsid w:val="001C6B33"/>
    <w:rsid w:val="001D2E9A"/>
    <w:rsid w:val="001D597F"/>
    <w:rsid w:val="001E3FD4"/>
    <w:rsid w:val="0020241A"/>
    <w:rsid w:val="00203821"/>
    <w:rsid w:val="00211632"/>
    <w:rsid w:val="0021630D"/>
    <w:rsid w:val="002340FA"/>
    <w:rsid w:val="0024121B"/>
    <w:rsid w:val="00247D2F"/>
    <w:rsid w:val="00256560"/>
    <w:rsid w:val="00271197"/>
    <w:rsid w:val="0027605E"/>
    <w:rsid w:val="00277529"/>
    <w:rsid w:val="00281E00"/>
    <w:rsid w:val="00285DC6"/>
    <w:rsid w:val="00294A52"/>
    <w:rsid w:val="002B575F"/>
    <w:rsid w:val="002B729B"/>
    <w:rsid w:val="002C23B5"/>
    <w:rsid w:val="002C53A2"/>
    <w:rsid w:val="002D0040"/>
    <w:rsid w:val="002D2FA8"/>
    <w:rsid w:val="002E220F"/>
    <w:rsid w:val="00304CA5"/>
    <w:rsid w:val="00307311"/>
    <w:rsid w:val="0032100F"/>
    <w:rsid w:val="0033402C"/>
    <w:rsid w:val="003357AB"/>
    <w:rsid w:val="00340521"/>
    <w:rsid w:val="00345C73"/>
    <w:rsid w:val="00354A99"/>
    <w:rsid w:val="003602F9"/>
    <w:rsid w:val="00360311"/>
    <w:rsid w:val="00361922"/>
    <w:rsid w:val="0037339B"/>
    <w:rsid w:val="00386C11"/>
    <w:rsid w:val="00397466"/>
    <w:rsid w:val="003A1A96"/>
    <w:rsid w:val="003A6148"/>
    <w:rsid w:val="003B0F12"/>
    <w:rsid w:val="003B4787"/>
    <w:rsid w:val="003C33F6"/>
    <w:rsid w:val="003C3D2E"/>
    <w:rsid w:val="003C43A5"/>
    <w:rsid w:val="003E1C5C"/>
    <w:rsid w:val="003E6650"/>
    <w:rsid w:val="003F1A64"/>
    <w:rsid w:val="003F5B46"/>
    <w:rsid w:val="00401363"/>
    <w:rsid w:val="00402E47"/>
    <w:rsid w:val="00425015"/>
    <w:rsid w:val="00430994"/>
    <w:rsid w:val="00441B6D"/>
    <w:rsid w:val="00442BBC"/>
    <w:rsid w:val="004556EF"/>
    <w:rsid w:val="00462B07"/>
    <w:rsid w:val="00465BD2"/>
    <w:rsid w:val="004715C8"/>
    <w:rsid w:val="00475FF3"/>
    <w:rsid w:val="00481C31"/>
    <w:rsid w:val="00482FC1"/>
    <w:rsid w:val="00483027"/>
    <w:rsid w:val="004871AA"/>
    <w:rsid w:val="004918D7"/>
    <w:rsid w:val="004926E1"/>
    <w:rsid w:val="00497811"/>
    <w:rsid w:val="004A2FEA"/>
    <w:rsid w:val="004D2DD7"/>
    <w:rsid w:val="004D75C5"/>
    <w:rsid w:val="004E2186"/>
    <w:rsid w:val="004E46A0"/>
    <w:rsid w:val="004E66FB"/>
    <w:rsid w:val="004F470A"/>
    <w:rsid w:val="004F4C59"/>
    <w:rsid w:val="00500C8F"/>
    <w:rsid w:val="00501909"/>
    <w:rsid w:val="00507BBB"/>
    <w:rsid w:val="005128DF"/>
    <w:rsid w:val="0051592A"/>
    <w:rsid w:val="005206FE"/>
    <w:rsid w:val="005257ED"/>
    <w:rsid w:val="005306F8"/>
    <w:rsid w:val="00530B5C"/>
    <w:rsid w:val="0054023D"/>
    <w:rsid w:val="005426BF"/>
    <w:rsid w:val="0056213C"/>
    <w:rsid w:val="005765D4"/>
    <w:rsid w:val="00580C24"/>
    <w:rsid w:val="005845DD"/>
    <w:rsid w:val="005968EF"/>
    <w:rsid w:val="00596C1E"/>
    <w:rsid w:val="005A2E26"/>
    <w:rsid w:val="005B7BCA"/>
    <w:rsid w:val="005C0DAE"/>
    <w:rsid w:val="005C188E"/>
    <w:rsid w:val="005D2349"/>
    <w:rsid w:val="005E1B60"/>
    <w:rsid w:val="005E5507"/>
    <w:rsid w:val="005E607B"/>
    <w:rsid w:val="005F0A8D"/>
    <w:rsid w:val="005F23A2"/>
    <w:rsid w:val="00601229"/>
    <w:rsid w:val="00603B67"/>
    <w:rsid w:val="006162A2"/>
    <w:rsid w:val="00621E55"/>
    <w:rsid w:val="0062298C"/>
    <w:rsid w:val="006240DA"/>
    <w:rsid w:val="006316C5"/>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0A55"/>
    <w:rsid w:val="0072290D"/>
    <w:rsid w:val="00723D6D"/>
    <w:rsid w:val="00724537"/>
    <w:rsid w:val="00731724"/>
    <w:rsid w:val="0073474B"/>
    <w:rsid w:val="00735511"/>
    <w:rsid w:val="00737208"/>
    <w:rsid w:val="00744DE6"/>
    <w:rsid w:val="00762076"/>
    <w:rsid w:val="00762452"/>
    <w:rsid w:val="007631ED"/>
    <w:rsid w:val="007639E0"/>
    <w:rsid w:val="00775507"/>
    <w:rsid w:val="00783473"/>
    <w:rsid w:val="0078594B"/>
    <w:rsid w:val="00785DD7"/>
    <w:rsid w:val="00795E02"/>
    <w:rsid w:val="007979D0"/>
    <w:rsid w:val="007A4E18"/>
    <w:rsid w:val="007A7B8C"/>
    <w:rsid w:val="007C6D9E"/>
    <w:rsid w:val="007D1C43"/>
    <w:rsid w:val="007D6C53"/>
    <w:rsid w:val="007E1564"/>
    <w:rsid w:val="007E1E87"/>
    <w:rsid w:val="007E3667"/>
    <w:rsid w:val="007E5B3F"/>
    <w:rsid w:val="007E66BB"/>
    <w:rsid w:val="007F2257"/>
    <w:rsid w:val="0080091D"/>
    <w:rsid w:val="00804108"/>
    <w:rsid w:val="00804FC4"/>
    <w:rsid w:val="00814897"/>
    <w:rsid w:val="00816367"/>
    <w:rsid w:val="00816A0B"/>
    <w:rsid w:val="00824B22"/>
    <w:rsid w:val="00830C53"/>
    <w:rsid w:val="008358F4"/>
    <w:rsid w:val="00837FAA"/>
    <w:rsid w:val="00840814"/>
    <w:rsid w:val="00841F77"/>
    <w:rsid w:val="0085131E"/>
    <w:rsid w:val="0085276D"/>
    <w:rsid w:val="00863390"/>
    <w:rsid w:val="0086385C"/>
    <w:rsid w:val="00871916"/>
    <w:rsid w:val="008956DD"/>
    <w:rsid w:val="008A510E"/>
    <w:rsid w:val="008A522A"/>
    <w:rsid w:val="008B199D"/>
    <w:rsid w:val="008B4464"/>
    <w:rsid w:val="008B4D1C"/>
    <w:rsid w:val="008B750B"/>
    <w:rsid w:val="008C3162"/>
    <w:rsid w:val="008D1F14"/>
    <w:rsid w:val="008D3E7A"/>
    <w:rsid w:val="008D7300"/>
    <w:rsid w:val="008E3924"/>
    <w:rsid w:val="008F13F7"/>
    <w:rsid w:val="008F47A4"/>
    <w:rsid w:val="008F5B4D"/>
    <w:rsid w:val="009039E9"/>
    <w:rsid w:val="00907425"/>
    <w:rsid w:val="00917369"/>
    <w:rsid w:val="00923C34"/>
    <w:rsid w:val="00924152"/>
    <w:rsid w:val="0092513D"/>
    <w:rsid w:val="00925AD6"/>
    <w:rsid w:val="00927A9F"/>
    <w:rsid w:val="009335CC"/>
    <w:rsid w:val="00935A55"/>
    <w:rsid w:val="00941CEB"/>
    <w:rsid w:val="00943CC6"/>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AF4C6D"/>
    <w:rsid w:val="00B1296B"/>
    <w:rsid w:val="00B2292F"/>
    <w:rsid w:val="00B264BE"/>
    <w:rsid w:val="00B43169"/>
    <w:rsid w:val="00B501A8"/>
    <w:rsid w:val="00B55A4C"/>
    <w:rsid w:val="00B55AE4"/>
    <w:rsid w:val="00B70B46"/>
    <w:rsid w:val="00B725EF"/>
    <w:rsid w:val="00B739B0"/>
    <w:rsid w:val="00B814A3"/>
    <w:rsid w:val="00B96F38"/>
    <w:rsid w:val="00BC716B"/>
    <w:rsid w:val="00BD0E74"/>
    <w:rsid w:val="00BD5F8C"/>
    <w:rsid w:val="00BE29DD"/>
    <w:rsid w:val="00C066AF"/>
    <w:rsid w:val="00C10E06"/>
    <w:rsid w:val="00C145B8"/>
    <w:rsid w:val="00C15DEC"/>
    <w:rsid w:val="00C2438F"/>
    <w:rsid w:val="00C31AF0"/>
    <w:rsid w:val="00C32A7E"/>
    <w:rsid w:val="00C34F28"/>
    <w:rsid w:val="00C368DF"/>
    <w:rsid w:val="00C411B3"/>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05677"/>
    <w:rsid w:val="00D10998"/>
    <w:rsid w:val="00D15CBD"/>
    <w:rsid w:val="00D221CB"/>
    <w:rsid w:val="00D23391"/>
    <w:rsid w:val="00D254E9"/>
    <w:rsid w:val="00D31805"/>
    <w:rsid w:val="00D51273"/>
    <w:rsid w:val="00D552B9"/>
    <w:rsid w:val="00D61A03"/>
    <w:rsid w:val="00D735B2"/>
    <w:rsid w:val="00D74021"/>
    <w:rsid w:val="00D76D01"/>
    <w:rsid w:val="00D922A9"/>
    <w:rsid w:val="00D9394A"/>
    <w:rsid w:val="00D96203"/>
    <w:rsid w:val="00D967B8"/>
    <w:rsid w:val="00DB0CBB"/>
    <w:rsid w:val="00DB67CC"/>
    <w:rsid w:val="00DC3783"/>
    <w:rsid w:val="00DE1070"/>
    <w:rsid w:val="00DF2597"/>
    <w:rsid w:val="00E00219"/>
    <w:rsid w:val="00E0316B"/>
    <w:rsid w:val="00E25E10"/>
    <w:rsid w:val="00E50B41"/>
    <w:rsid w:val="00E5219B"/>
    <w:rsid w:val="00E52D07"/>
    <w:rsid w:val="00E5518B"/>
    <w:rsid w:val="00E609FE"/>
    <w:rsid w:val="00E60BE9"/>
    <w:rsid w:val="00E630BE"/>
    <w:rsid w:val="00E75920"/>
    <w:rsid w:val="00E80D96"/>
    <w:rsid w:val="00E871FA"/>
    <w:rsid w:val="00E936A4"/>
    <w:rsid w:val="00E954BB"/>
    <w:rsid w:val="00EA3CD0"/>
    <w:rsid w:val="00EA45E7"/>
    <w:rsid w:val="00EB78E3"/>
    <w:rsid w:val="00EB7BE3"/>
    <w:rsid w:val="00EC1C4B"/>
    <w:rsid w:val="00EC735A"/>
    <w:rsid w:val="00ED4C05"/>
    <w:rsid w:val="00ED5F38"/>
    <w:rsid w:val="00EF27FE"/>
    <w:rsid w:val="00EF6B21"/>
    <w:rsid w:val="00F07FB6"/>
    <w:rsid w:val="00F149D0"/>
    <w:rsid w:val="00F16B53"/>
    <w:rsid w:val="00F203AE"/>
    <w:rsid w:val="00F25ECD"/>
    <w:rsid w:val="00F278B7"/>
    <w:rsid w:val="00F318BE"/>
    <w:rsid w:val="00F33297"/>
    <w:rsid w:val="00F343FB"/>
    <w:rsid w:val="00F359FE"/>
    <w:rsid w:val="00F400B6"/>
    <w:rsid w:val="00F42159"/>
    <w:rsid w:val="00F4256E"/>
    <w:rsid w:val="00F42EE1"/>
    <w:rsid w:val="00F60F1F"/>
    <w:rsid w:val="00F64141"/>
    <w:rsid w:val="00F67508"/>
    <w:rsid w:val="00F71FC9"/>
    <w:rsid w:val="00F73B48"/>
    <w:rsid w:val="00F74F51"/>
    <w:rsid w:val="00F771F9"/>
    <w:rsid w:val="00F842AD"/>
    <w:rsid w:val="00F914EB"/>
    <w:rsid w:val="00F91B85"/>
    <w:rsid w:val="00F938E7"/>
    <w:rsid w:val="00FA3B17"/>
    <w:rsid w:val="00FA5E8D"/>
    <w:rsid w:val="00FA5F3D"/>
    <w:rsid w:val="00FB399E"/>
    <w:rsid w:val="00FB7F50"/>
    <w:rsid w:val="00FC1D51"/>
    <w:rsid w:val="00FC260F"/>
    <w:rsid w:val="00FC2A85"/>
    <w:rsid w:val="00FC40AF"/>
    <w:rsid w:val="00FC73B9"/>
    <w:rsid w:val="00FD0A16"/>
    <w:rsid w:val="00FE3D7D"/>
    <w:rsid w:val="00FE4F23"/>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E60B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321279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55342096">
      <w:bodyDiv w:val="1"/>
      <w:marLeft w:val="0"/>
      <w:marRight w:val="0"/>
      <w:marTop w:val="0"/>
      <w:marBottom w:val="0"/>
      <w:divBdr>
        <w:top w:val="none" w:sz="0" w:space="0" w:color="auto"/>
        <w:left w:val="none" w:sz="0" w:space="0" w:color="auto"/>
        <w:bottom w:val="none" w:sz="0" w:space="0" w:color="auto"/>
        <w:right w:val="none" w:sz="0" w:space="0" w:color="auto"/>
      </w:divBdr>
    </w:div>
    <w:div w:id="20344413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06482868">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89944739">
      <w:bodyDiv w:val="1"/>
      <w:marLeft w:val="0"/>
      <w:marRight w:val="0"/>
      <w:marTop w:val="0"/>
      <w:marBottom w:val="0"/>
      <w:divBdr>
        <w:top w:val="none" w:sz="0" w:space="0" w:color="auto"/>
        <w:left w:val="none" w:sz="0" w:space="0" w:color="auto"/>
        <w:bottom w:val="none" w:sz="0" w:space="0" w:color="auto"/>
        <w:right w:val="none" w:sz="0" w:space="0" w:color="auto"/>
      </w:divBdr>
    </w:div>
    <w:div w:id="106228739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36090906">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1526383">
      <w:bodyDiv w:val="1"/>
      <w:marLeft w:val="0"/>
      <w:marRight w:val="0"/>
      <w:marTop w:val="0"/>
      <w:marBottom w:val="0"/>
      <w:divBdr>
        <w:top w:val="none" w:sz="0" w:space="0" w:color="auto"/>
        <w:left w:val="none" w:sz="0" w:space="0" w:color="auto"/>
        <w:bottom w:val="none" w:sz="0" w:space="0" w:color="auto"/>
        <w:right w:val="none" w:sz="0" w:space="0" w:color="auto"/>
      </w:divBdr>
    </w:div>
    <w:div w:id="1601643236">
      <w:bodyDiv w:val="1"/>
      <w:marLeft w:val="0"/>
      <w:marRight w:val="0"/>
      <w:marTop w:val="0"/>
      <w:marBottom w:val="0"/>
      <w:divBdr>
        <w:top w:val="none" w:sz="0" w:space="0" w:color="auto"/>
        <w:left w:val="none" w:sz="0" w:space="0" w:color="auto"/>
        <w:bottom w:val="none" w:sz="0" w:space="0" w:color="auto"/>
        <w:right w:val="none" w:sz="0" w:space="0" w:color="auto"/>
      </w:divBdr>
    </w:div>
    <w:div w:id="1610510582">
      <w:bodyDiv w:val="1"/>
      <w:marLeft w:val="0"/>
      <w:marRight w:val="0"/>
      <w:marTop w:val="0"/>
      <w:marBottom w:val="0"/>
      <w:divBdr>
        <w:top w:val="none" w:sz="0" w:space="0" w:color="auto"/>
        <w:left w:val="none" w:sz="0" w:space="0" w:color="auto"/>
        <w:bottom w:val="none" w:sz="0" w:space="0" w:color="auto"/>
        <w:right w:val="none" w:sz="0" w:space="0" w:color="auto"/>
      </w:divBdr>
    </w:div>
    <w:div w:id="1629816660">
      <w:bodyDiv w:val="1"/>
      <w:marLeft w:val="0"/>
      <w:marRight w:val="0"/>
      <w:marTop w:val="0"/>
      <w:marBottom w:val="0"/>
      <w:divBdr>
        <w:top w:val="none" w:sz="0" w:space="0" w:color="auto"/>
        <w:left w:val="none" w:sz="0" w:space="0" w:color="auto"/>
        <w:bottom w:val="none" w:sz="0" w:space="0" w:color="auto"/>
        <w:right w:val="none" w:sz="0" w:space="0" w:color="auto"/>
      </w:divBdr>
    </w:div>
    <w:div w:id="1662463473">
      <w:bodyDiv w:val="1"/>
      <w:marLeft w:val="0"/>
      <w:marRight w:val="0"/>
      <w:marTop w:val="0"/>
      <w:marBottom w:val="0"/>
      <w:divBdr>
        <w:top w:val="none" w:sz="0" w:space="0" w:color="auto"/>
        <w:left w:val="none" w:sz="0" w:space="0" w:color="auto"/>
        <w:bottom w:val="none" w:sz="0" w:space="0" w:color="auto"/>
        <w:right w:val="none" w:sz="0" w:space="0" w:color="auto"/>
      </w:divBdr>
    </w:div>
    <w:div w:id="1729912271">
      <w:bodyDiv w:val="1"/>
      <w:marLeft w:val="0"/>
      <w:marRight w:val="0"/>
      <w:marTop w:val="0"/>
      <w:marBottom w:val="0"/>
      <w:divBdr>
        <w:top w:val="none" w:sz="0" w:space="0" w:color="auto"/>
        <w:left w:val="none" w:sz="0" w:space="0" w:color="auto"/>
        <w:bottom w:val="none" w:sz="0" w:space="0" w:color="auto"/>
        <w:right w:val="none" w:sz="0" w:space="0" w:color="auto"/>
      </w:divBdr>
    </w:div>
    <w:div w:id="1752894984">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74030144">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57448475">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2284969">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27003/1/178/&#1601;&#1601;&#1740;&#1605;&#1575;" TargetMode="External"/><Relationship Id="rId2" Type="http://schemas.openxmlformats.org/officeDocument/2006/relationships/hyperlink" Target="http://lib.eshia.ir/27003/1/178/%D9%85%D9%86%D8%A7%D9%82%D8%B4%D8%A9" TargetMode="External"/><Relationship Id="rId1" Type="http://schemas.openxmlformats.org/officeDocument/2006/relationships/hyperlink" Target="http://lib.eshia.ir/27003/1/230/%D8%A7%D9%84%D8%A3%D9%8F%D8%B3%D8%AA%D8%A7%D8%B0" TargetMode="External"/><Relationship Id="rId4" Type="http://schemas.openxmlformats.org/officeDocument/2006/relationships/hyperlink" Target="http://lib.eshia.ir/27003/1/172/&#1575;&#1604;&#1582;&#1575;&#1605;&#15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9A65D-562E-4E6A-B2C6-9AEE790E5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5</Pages>
  <Words>1217</Words>
  <Characters>6937</Characters>
  <Application>Microsoft Office Word</Application>
  <DocSecurity>0</DocSecurity>
  <Lines>57</Lines>
  <Paragraphs>16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8138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cp:revision>
  <cp:lastPrinted>2020-05-18T10:10:00Z</cp:lastPrinted>
  <dcterms:created xsi:type="dcterms:W3CDTF">2020-05-18T10:10:00Z</dcterms:created>
  <dcterms:modified xsi:type="dcterms:W3CDTF">2020-05-27T13:17:00Z</dcterms:modified>
  <cp:contentStatus>ویرایش 2.5</cp:contentStatus>
  <cp:version>2.7</cp:version>
</cp:coreProperties>
</file>