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EA2149">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C7B6C" w:rsidRDefault="007C7B6C" w:rsidP="00EA2149">
      <w:pPr>
        <w:pStyle w:val="TOC1"/>
        <w:jc w:val="both"/>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4468108" w:history="1">
        <w:r w:rsidRPr="00057B00">
          <w:rPr>
            <w:rStyle w:val="Hyperlink"/>
            <w:noProof/>
            <w:rtl/>
          </w:rPr>
          <w:t>تکم</w:t>
        </w:r>
        <w:r w:rsidRPr="00057B00">
          <w:rPr>
            <w:rStyle w:val="Hyperlink"/>
            <w:rFonts w:hint="cs"/>
            <w:noProof/>
            <w:rtl/>
          </w:rPr>
          <w:t>ی</w:t>
        </w:r>
        <w:r w:rsidRPr="00057B00">
          <w:rPr>
            <w:rStyle w:val="Hyperlink"/>
            <w:rFonts w:hint="eastAsia"/>
            <w:noProof/>
            <w:rtl/>
          </w:rPr>
          <w:t>ل</w:t>
        </w:r>
        <w:r w:rsidRPr="00057B00">
          <w:rPr>
            <w:rStyle w:val="Hyperlink"/>
            <w:noProof/>
            <w:rtl/>
          </w:rPr>
          <w:t xml:space="preserve"> بحث استصحاب عدم نسخ</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Toc94468108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7C7B6C" w:rsidRDefault="007C7B6C" w:rsidP="00EA2149">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4468109" w:history="1">
        <w:r w:rsidRPr="00057B00">
          <w:rPr>
            <w:rStyle w:val="Hyperlink"/>
            <w:noProof/>
            <w:rtl/>
          </w:rPr>
          <w:t>چهار حکم در آ</w:t>
        </w:r>
        <w:r w:rsidRPr="00057B00">
          <w:rPr>
            <w:rStyle w:val="Hyperlink"/>
            <w:rFonts w:hint="cs"/>
            <w:noProof/>
            <w:rtl/>
          </w:rPr>
          <w:t>ی</w:t>
        </w:r>
        <w:r w:rsidRPr="00057B00">
          <w:rPr>
            <w:rStyle w:val="Hyperlink"/>
            <w:rFonts w:hint="eastAsia"/>
            <w:noProof/>
            <w:rtl/>
          </w:rPr>
          <w:t>ه</w:t>
        </w:r>
        <w:r>
          <w:rPr>
            <w:rStyle w:val="Hyperlink"/>
            <w:noProof/>
            <w:rtl/>
          </w:rPr>
          <w:softHyphen/>
        </w:r>
        <w:r w:rsidRPr="00057B00">
          <w:rPr>
            <w:rStyle w:val="Hyperlink"/>
            <w:rFonts w:hint="cs"/>
            <w:noProof/>
            <w:rtl/>
          </w:rPr>
          <w:t>ی</w:t>
        </w:r>
        <w:r w:rsidRPr="00057B00">
          <w:rPr>
            <w:rStyle w:val="Hyperlink"/>
            <w:noProof/>
            <w:rtl/>
          </w:rPr>
          <w:t xml:space="preserve"> 27 سوره</w:t>
        </w:r>
        <w:r>
          <w:rPr>
            <w:rStyle w:val="Hyperlink"/>
            <w:noProof/>
            <w:rtl/>
          </w:rPr>
          <w:softHyphen/>
        </w:r>
        <w:r w:rsidRPr="00057B00">
          <w:rPr>
            <w:rStyle w:val="Hyperlink"/>
            <w:rFonts w:hint="cs"/>
            <w:noProof/>
            <w:rtl/>
          </w:rPr>
          <w:t>ی</w:t>
        </w:r>
        <w:r w:rsidRPr="00057B00">
          <w:rPr>
            <w:rStyle w:val="Hyperlink"/>
            <w:noProof/>
            <w:rtl/>
          </w:rPr>
          <w:t xml:space="preserve"> قصص</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Toc94468109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7C7B6C" w:rsidRDefault="007C7B6C" w:rsidP="00EA2149">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4468110" w:history="1">
        <w:r w:rsidRPr="00057B00">
          <w:rPr>
            <w:rStyle w:val="Hyperlink"/>
            <w:noProof/>
            <w:rtl/>
          </w:rPr>
          <w:t>اشاره به روا</w:t>
        </w:r>
        <w:r w:rsidRPr="00057B00">
          <w:rPr>
            <w:rStyle w:val="Hyperlink"/>
            <w:rFonts w:hint="cs"/>
            <w:noProof/>
            <w:rtl/>
          </w:rPr>
          <w:t>ی</w:t>
        </w:r>
        <w:r w:rsidRPr="00057B00">
          <w:rPr>
            <w:rStyle w:val="Hyperlink"/>
            <w:rFonts w:hint="eastAsia"/>
            <w:noProof/>
            <w:rtl/>
          </w:rPr>
          <w:t>ات</w:t>
        </w:r>
        <w:r w:rsidRPr="00057B00">
          <w:rPr>
            <w:rStyle w:val="Hyperlink"/>
            <w:noProof/>
            <w:rtl/>
          </w:rPr>
          <w:t xml:space="preserve"> مذکور در کلام مرحوم ش</w:t>
        </w:r>
        <w:r w:rsidRPr="00057B00">
          <w:rPr>
            <w:rStyle w:val="Hyperlink"/>
            <w:rFonts w:hint="cs"/>
            <w:noProof/>
            <w:rtl/>
          </w:rPr>
          <w:t>ی</w:t>
        </w:r>
        <w:r w:rsidRPr="00057B00">
          <w:rPr>
            <w:rStyle w:val="Hyperlink"/>
            <w:rFonts w:hint="eastAsia"/>
            <w:noProof/>
            <w:rtl/>
          </w:rPr>
          <w:t>خ</w:t>
        </w:r>
        <w:r w:rsidRPr="00057B00">
          <w:rPr>
            <w:rStyle w:val="Hyperlink"/>
            <w:noProof/>
            <w:rtl/>
          </w:rPr>
          <w:t xml:space="preserve"> انصار</w:t>
        </w:r>
        <w:r w:rsidRPr="00057B00">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Toc94468110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C91EB6" w:rsidRPr="00C91EB6" w:rsidRDefault="007C7B6C" w:rsidP="00EA2149">
      <w:pPr>
        <w:jc w:val="both"/>
      </w:pPr>
      <w:r>
        <w:rPr>
          <w:rFonts w:cs="B Titr"/>
          <w:noProof/>
          <w:webHidden/>
          <w:color w:val="632423" w:themeColor="accent2" w:themeShade="80"/>
          <w:szCs w:val="24"/>
          <w:rtl/>
        </w:rPr>
        <w:fldChar w:fldCharType="end"/>
      </w:r>
    </w:p>
    <w:p w:rsidR="00F343FB" w:rsidRPr="00A6366F" w:rsidRDefault="00F842AD" w:rsidP="00EA2149">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F63002">
        <w:rPr>
          <w:rtl/>
        </w:rPr>
        <w:t>اصل مثبت</w:t>
      </w:r>
      <w:r w:rsidR="00025B70">
        <w:rPr>
          <w:rFonts w:hint="cs"/>
          <w:rtl/>
        </w:rPr>
        <w:t xml:space="preserve"> </w:t>
      </w:r>
      <w:r w:rsidR="00386C11" w:rsidRPr="00A6366F">
        <w:rPr>
          <w:rFonts w:hint="cs"/>
          <w:rtl/>
        </w:rPr>
        <w:t>/</w:t>
      </w:r>
      <w:bookmarkStart w:id="1" w:name="BokSabj_d"/>
      <w:bookmarkEnd w:id="1"/>
      <w:r w:rsidR="00F63002">
        <w:rPr>
          <w:rtl/>
        </w:rPr>
        <w:t>تنب</w:t>
      </w:r>
      <w:r w:rsidR="00F63002">
        <w:rPr>
          <w:rFonts w:hint="cs"/>
          <w:rtl/>
        </w:rPr>
        <w:t>ی</w:t>
      </w:r>
      <w:r w:rsidR="00F63002">
        <w:rPr>
          <w:rFonts w:hint="eastAsia"/>
          <w:rtl/>
        </w:rPr>
        <w:t>هات</w:t>
      </w:r>
      <w:r w:rsidR="00386C11" w:rsidRPr="00A6366F">
        <w:rPr>
          <w:rFonts w:hint="cs"/>
          <w:rtl/>
        </w:rPr>
        <w:t xml:space="preserve"> /</w:t>
      </w:r>
      <w:bookmarkStart w:id="2" w:name="Bokkolli"/>
      <w:bookmarkEnd w:id="2"/>
      <w:r w:rsidR="00F63002">
        <w:rPr>
          <w:rtl/>
        </w:rPr>
        <w:t>استصحاب</w:t>
      </w:r>
      <w:r w:rsidR="001B6799" w:rsidRPr="00A6366F">
        <w:rPr>
          <w:rFonts w:hint="cs"/>
          <w:rtl/>
        </w:rPr>
        <w:t xml:space="preserve"> </w:t>
      </w:r>
    </w:p>
    <w:p w:rsidR="008F5B4D" w:rsidRPr="009C66D5" w:rsidRDefault="008F5B4D" w:rsidP="00EA2149">
      <w:pPr>
        <w:jc w:val="both"/>
        <w:rPr>
          <w:rStyle w:val="Emphasis"/>
          <w:b/>
          <w:bCs w:val="0"/>
          <w:rtl/>
        </w:rPr>
      </w:pPr>
      <w:r w:rsidRPr="009C66D5">
        <w:rPr>
          <w:rStyle w:val="Emphasis"/>
          <w:rFonts w:hint="cs"/>
          <w:b/>
          <w:bCs w:val="0"/>
          <w:rtl/>
        </w:rPr>
        <w:t>خلاصه مباحث گذشته:</w:t>
      </w:r>
    </w:p>
    <w:p w:rsidR="00247D2F" w:rsidRDefault="00FE2894" w:rsidP="00EA2149">
      <w:pPr>
        <w:pBdr>
          <w:bottom w:val="double" w:sz="6" w:space="1" w:color="auto"/>
        </w:pBdr>
        <w:jc w:val="both"/>
        <w:rPr>
          <w:rtl/>
        </w:rPr>
      </w:pPr>
      <w:r>
        <w:rPr>
          <w:rFonts w:hint="cs"/>
          <w:rtl/>
        </w:rPr>
        <w:t>در جلسه</w:t>
      </w:r>
      <w:r>
        <w:rPr>
          <w:rtl/>
        </w:rPr>
        <w:softHyphen/>
      </w:r>
      <w:r>
        <w:rPr>
          <w:rFonts w:hint="cs"/>
          <w:rtl/>
        </w:rPr>
        <w:t>ی گذشته بحث از استصحاب احکام شرائع سابقه را به اتمام رساندیم و به بحث اصل مثبت ورود نمودیم.</w:t>
      </w:r>
      <w:r w:rsidRPr="003A6148">
        <w:t xml:space="preserve"> </w:t>
      </w:r>
    </w:p>
    <w:p w:rsidR="00491A20" w:rsidRPr="003A6148" w:rsidRDefault="00491A20" w:rsidP="00EA2149">
      <w:pPr>
        <w:pBdr>
          <w:bottom w:val="double" w:sz="6" w:space="1" w:color="auto"/>
        </w:pBdr>
        <w:jc w:val="both"/>
      </w:pPr>
      <w:r>
        <w:rPr>
          <w:rFonts w:hint="cs"/>
          <w:rtl/>
        </w:rPr>
        <w:t>در این جلسه به نکته ای که در کلام مرحوم شیخ انصاری در بحث نسخ شرائع سابقه بیان شده، اشاره نموده و بحث سابق را تکمیل می کنیم.</w:t>
      </w:r>
    </w:p>
    <w:p w:rsidR="00FE2894" w:rsidRDefault="00FE2894" w:rsidP="00EA2149">
      <w:pPr>
        <w:pStyle w:val="Heading1"/>
        <w:jc w:val="both"/>
        <w:rPr>
          <w:rtl/>
        </w:rPr>
      </w:pPr>
      <w:bookmarkStart w:id="3" w:name="_Toc94468108"/>
      <w:r>
        <w:rPr>
          <w:rFonts w:hint="cs"/>
          <w:rtl/>
        </w:rPr>
        <w:t>تکمیل بحث استصحاب عدم نسخ</w:t>
      </w:r>
      <w:bookmarkEnd w:id="3"/>
    </w:p>
    <w:p w:rsidR="00FE2894" w:rsidRDefault="00FE2894" w:rsidP="00EA2149">
      <w:pPr>
        <w:jc w:val="both"/>
        <w:rPr>
          <w:rtl/>
        </w:rPr>
      </w:pPr>
      <w:r>
        <w:rPr>
          <w:rFonts w:hint="cs"/>
          <w:rtl/>
        </w:rPr>
        <w:t>مرحوم شیخ انصاری</w:t>
      </w:r>
      <w:r w:rsidR="00491A20">
        <w:rPr>
          <w:rFonts w:hint="cs"/>
          <w:rtl/>
        </w:rPr>
        <w:t xml:space="preserve"> به ثمراتی برای </w:t>
      </w:r>
      <w:r>
        <w:rPr>
          <w:rFonts w:hint="cs"/>
          <w:rtl/>
        </w:rPr>
        <w:t>بحث</w:t>
      </w:r>
      <w:r w:rsidR="00491A20">
        <w:rPr>
          <w:rFonts w:hint="cs"/>
          <w:rtl/>
        </w:rPr>
        <w:t xml:space="preserve"> استصحاب عدم نسخ اشاره می کنند و در موردش</w:t>
      </w:r>
      <w:r>
        <w:rPr>
          <w:rFonts w:hint="cs"/>
          <w:rtl/>
        </w:rPr>
        <w:t xml:space="preserve"> بحث می کنند؛ ما نمی خواهیم به این ثمرات ورود کنیم ولی</w:t>
      </w:r>
      <w:r w:rsidR="00491A20">
        <w:rPr>
          <w:rFonts w:hint="cs"/>
          <w:rtl/>
        </w:rPr>
        <w:t xml:space="preserve"> ایشان</w:t>
      </w:r>
      <w:r>
        <w:rPr>
          <w:rFonts w:hint="cs"/>
          <w:rtl/>
        </w:rPr>
        <w:t xml:space="preserve"> عبارتی دارد که د</w:t>
      </w:r>
      <w:r w:rsidR="00491A20">
        <w:rPr>
          <w:rFonts w:hint="cs"/>
          <w:rtl/>
        </w:rPr>
        <w:t>ر بحث ما اثرگذار است و با</w:t>
      </w:r>
      <w:r>
        <w:rPr>
          <w:rFonts w:hint="cs"/>
          <w:rtl/>
        </w:rPr>
        <w:t>ی</w:t>
      </w:r>
      <w:r w:rsidR="00491A20">
        <w:rPr>
          <w:rFonts w:hint="cs"/>
          <w:rtl/>
        </w:rPr>
        <w:t>د</w:t>
      </w:r>
      <w:r>
        <w:rPr>
          <w:rFonts w:hint="cs"/>
          <w:rtl/>
        </w:rPr>
        <w:t xml:space="preserve"> محطّ بحث قرار گیرد.</w:t>
      </w:r>
    </w:p>
    <w:p w:rsidR="00FE2894" w:rsidRDefault="00FE2894" w:rsidP="00EA2149">
      <w:pPr>
        <w:jc w:val="both"/>
        <w:rPr>
          <w:rtl/>
        </w:rPr>
      </w:pPr>
      <w:r>
        <w:rPr>
          <w:rFonts w:hint="cs"/>
          <w:rtl/>
        </w:rPr>
        <w:t>ایشان می فرماید: در امم سابقه احکامی وجود داشته که می خواهیم بقایش را استصحاب کنیم.</w:t>
      </w:r>
    </w:p>
    <w:p w:rsidR="00FE2894" w:rsidRPr="00FE2894" w:rsidRDefault="00FE2894" w:rsidP="00EA2149">
      <w:pPr>
        <w:jc w:val="both"/>
        <w:rPr>
          <w:color w:val="000080"/>
          <w:rtl/>
        </w:rPr>
      </w:pPr>
      <w:r w:rsidRPr="00FE2894">
        <w:rPr>
          <w:rFonts w:hint="cs"/>
          <w:color w:val="000080"/>
          <w:rtl/>
        </w:rPr>
        <w:t xml:space="preserve">منها قوله تعالی حکایه عن شعیب </w:t>
      </w:r>
      <w:r w:rsidR="0075424A">
        <w:rPr>
          <w:rFonts w:cs="Calibri"/>
          <w:color w:val="000080"/>
          <w:rtl/>
        </w:rPr>
        <w:t>﴿</w:t>
      </w:r>
      <w:r w:rsidR="0075424A" w:rsidRPr="0075424A">
        <w:rPr>
          <w:rFonts w:hint="cs"/>
          <w:color w:val="008000"/>
          <w:rtl/>
        </w:rPr>
        <w:t xml:space="preserve"> </w:t>
      </w:r>
      <w:r w:rsidR="0075424A">
        <w:rPr>
          <w:rFonts w:hint="cs"/>
          <w:color w:val="008000"/>
          <w:rtl/>
        </w:rPr>
        <w:t xml:space="preserve">قال </w:t>
      </w:r>
      <w:r w:rsidR="0075424A" w:rsidRPr="0075424A">
        <w:rPr>
          <w:rFonts w:hint="cs"/>
          <w:color w:val="008000"/>
          <w:rtl/>
        </w:rPr>
        <w:t xml:space="preserve">انی ارید ان انکحک احدی ابنتیّ </w:t>
      </w:r>
      <w:r w:rsidR="0075424A">
        <w:rPr>
          <w:rFonts w:hint="cs"/>
          <w:color w:val="008000"/>
          <w:rtl/>
        </w:rPr>
        <w:t>هاتین علی ان تأجرنی ث</w:t>
      </w:r>
      <w:r w:rsidR="0075424A" w:rsidRPr="0075424A">
        <w:rPr>
          <w:rFonts w:hint="cs"/>
          <w:color w:val="008000"/>
          <w:rtl/>
        </w:rPr>
        <w:t>م</w:t>
      </w:r>
      <w:r w:rsidR="0075424A">
        <w:rPr>
          <w:rFonts w:hint="cs"/>
          <w:color w:val="008000"/>
          <w:rtl/>
        </w:rPr>
        <w:t>ا</w:t>
      </w:r>
      <w:r w:rsidR="0075424A" w:rsidRPr="0075424A">
        <w:rPr>
          <w:rFonts w:hint="cs"/>
          <w:color w:val="008000"/>
          <w:rtl/>
        </w:rPr>
        <w:t>نی حجج فإن اتممت عشرا من عند</w:t>
      </w:r>
      <w:r w:rsidRPr="0075424A">
        <w:rPr>
          <w:rFonts w:hint="cs"/>
          <w:color w:val="008000"/>
          <w:rtl/>
        </w:rPr>
        <w:t>ک</w:t>
      </w:r>
      <w:r w:rsidR="0075424A">
        <w:rPr>
          <w:rFonts w:hint="cs"/>
          <w:color w:val="008000"/>
          <w:rtl/>
        </w:rPr>
        <w:t xml:space="preserve"> ...</w:t>
      </w:r>
      <w:r w:rsidR="0075424A" w:rsidRPr="0075424A">
        <w:rPr>
          <w:rFonts w:cs="Calibri"/>
          <w:color w:val="008000"/>
          <w:rtl/>
        </w:rPr>
        <w:t>﴾</w:t>
      </w:r>
      <w:r w:rsidRPr="0075424A">
        <w:rPr>
          <w:rFonts w:hint="cs"/>
          <w:color w:val="008000"/>
          <w:rtl/>
        </w:rPr>
        <w:t>.</w:t>
      </w:r>
    </w:p>
    <w:p w:rsidR="00FE2894" w:rsidRPr="00FE2894" w:rsidRDefault="00FE2894" w:rsidP="00EA2149">
      <w:pPr>
        <w:jc w:val="both"/>
        <w:rPr>
          <w:color w:val="000080"/>
          <w:rtl/>
        </w:rPr>
      </w:pPr>
      <w:r w:rsidRPr="00FE2894">
        <w:rPr>
          <w:rFonts w:hint="cs"/>
          <w:color w:val="000080"/>
          <w:rtl/>
        </w:rPr>
        <w:t>فیه أن حکم المسأله قد علم من العمومات و الخصوصات الوارده فیها فلا ثمره فی الاستصحاب. (به این بخش کار نداریم)</w:t>
      </w:r>
    </w:p>
    <w:p w:rsidR="00FE2894" w:rsidRPr="00FE2894" w:rsidRDefault="00FE2894" w:rsidP="00EA2149">
      <w:pPr>
        <w:jc w:val="both"/>
        <w:rPr>
          <w:color w:val="000080"/>
          <w:rtl/>
        </w:rPr>
      </w:pPr>
      <w:r w:rsidRPr="00FE2894">
        <w:rPr>
          <w:rFonts w:hint="cs"/>
          <w:color w:val="000080"/>
          <w:rtl/>
        </w:rPr>
        <w:t>نعم فی بعض تلک الاخبار اشعار بجواز العمل بالحکم السابق فی الشرع السابق لولا المنع عنه فراجع و تأمل.</w:t>
      </w:r>
      <w:r w:rsidR="00BB7C68">
        <w:rPr>
          <w:rStyle w:val="FootnoteReference"/>
          <w:color w:val="000080"/>
          <w:rtl/>
        </w:rPr>
        <w:footnoteReference w:id="1"/>
      </w:r>
    </w:p>
    <w:p w:rsidR="00FE2894" w:rsidRDefault="00FE2894" w:rsidP="00EA2149">
      <w:pPr>
        <w:jc w:val="both"/>
        <w:rPr>
          <w:rtl/>
        </w:rPr>
      </w:pPr>
      <w:r>
        <w:rPr>
          <w:rFonts w:hint="cs"/>
          <w:rtl/>
        </w:rPr>
        <w:t>می فرماید برخی از اخباری که ذیل این آیه</w:t>
      </w:r>
      <w:r>
        <w:rPr>
          <w:rtl/>
        </w:rPr>
        <w:softHyphen/>
      </w:r>
      <w:r>
        <w:rPr>
          <w:rFonts w:hint="cs"/>
          <w:rtl/>
        </w:rPr>
        <w:t xml:space="preserve">ی شریفه وارد شده اشعار دارند به این که </w:t>
      </w:r>
      <w:r w:rsidR="00BB7C68">
        <w:rPr>
          <w:rFonts w:hint="cs"/>
          <w:rtl/>
        </w:rPr>
        <w:t xml:space="preserve">اگر در مورد </w:t>
      </w:r>
      <w:r>
        <w:rPr>
          <w:rFonts w:hint="cs"/>
          <w:rtl/>
        </w:rPr>
        <w:t xml:space="preserve">احکامی که در شرع سابق وجود داشته </w:t>
      </w:r>
      <w:r w:rsidR="00BB7C68">
        <w:rPr>
          <w:rFonts w:hint="cs"/>
          <w:rtl/>
        </w:rPr>
        <w:t xml:space="preserve">منعی </w:t>
      </w:r>
      <w:r>
        <w:rPr>
          <w:rFonts w:hint="cs"/>
          <w:rtl/>
        </w:rPr>
        <w:t>نباشد باید به آن احکام عمل کرد و این همان نکته ای است که مرحوم شیخ طوسی</w:t>
      </w:r>
      <w:r w:rsidR="007C1D3B">
        <w:rPr>
          <w:rStyle w:val="FootnoteReference"/>
          <w:rtl/>
        </w:rPr>
        <w:footnoteReference w:id="2"/>
      </w:r>
      <w:r>
        <w:rPr>
          <w:rFonts w:hint="cs"/>
          <w:rtl/>
        </w:rPr>
        <w:t xml:space="preserve"> از آیه</w:t>
      </w:r>
      <w:r>
        <w:rPr>
          <w:rtl/>
        </w:rPr>
        <w:softHyphen/>
      </w:r>
      <w:r>
        <w:rPr>
          <w:rFonts w:hint="cs"/>
          <w:rtl/>
        </w:rPr>
        <w:t>ی قرآن استفاده کرده بود</w:t>
      </w:r>
      <w:r w:rsidR="00BB7C68">
        <w:rPr>
          <w:rFonts w:hint="cs"/>
          <w:rtl/>
        </w:rPr>
        <w:t>ند</w:t>
      </w:r>
      <w:r>
        <w:rPr>
          <w:rFonts w:hint="cs"/>
          <w:rtl/>
        </w:rPr>
        <w:t>.</w:t>
      </w:r>
    </w:p>
    <w:p w:rsidR="0075424A" w:rsidRDefault="0075424A" w:rsidP="00EA2149">
      <w:pPr>
        <w:jc w:val="both"/>
        <w:rPr>
          <w:rtl/>
        </w:rPr>
      </w:pPr>
      <w:r>
        <w:rPr>
          <w:rFonts w:hint="cs"/>
          <w:rtl/>
        </w:rPr>
        <w:lastRenderedPageBreak/>
        <w:t>در کلمات محشین رسائل توضیح خاصی در مورد این کلام یافت نشد و تنها کسی که به این روایت اشاره کرده بود مرحوم آقای سید محمد سعید حکیم</w:t>
      </w:r>
      <w:r w:rsidR="00A60BF6">
        <w:rPr>
          <w:rStyle w:val="FootnoteReference"/>
          <w:rtl/>
        </w:rPr>
        <w:footnoteReference w:id="3"/>
      </w:r>
      <w:r>
        <w:rPr>
          <w:rFonts w:hint="cs"/>
          <w:rtl/>
        </w:rPr>
        <w:t xml:space="preserve"> بود که در شرحشان بر رسائل به این روایت اشاره کرده بودند ولی بدون این که تقریبی برای استدلال مطرح کند به مرحوم شیخ اشکال نموده بودند و برخی شروح تنها ترجمه</w:t>
      </w:r>
      <w:r>
        <w:rPr>
          <w:rtl/>
        </w:rPr>
        <w:softHyphen/>
      </w:r>
      <w:r>
        <w:rPr>
          <w:rFonts w:hint="cs"/>
          <w:rtl/>
        </w:rPr>
        <w:t>ی لفظی کرده بودند.</w:t>
      </w:r>
    </w:p>
    <w:p w:rsidR="0075424A" w:rsidRDefault="0075424A" w:rsidP="00EA2149">
      <w:pPr>
        <w:jc w:val="both"/>
        <w:rPr>
          <w:rtl/>
        </w:rPr>
      </w:pPr>
      <w:r>
        <w:rPr>
          <w:rFonts w:hint="cs"/>
          <w:rtl/>
        </w:rPr>
        <w:t>حال باید اولا این روایات را ملاحظه کرد و ثانیا تقریب مورد نظر را تبیین کرد و ثالثا چرا به تعبیر مرحوم شیخ اشعار دارد نه دلالت و اگر دلالت داشته باشد خودش یک قاعده</w:t>
      </w:r>
      <w:r>
        <w:rPr>
          <w:rtl/>
        </w:rPr>
        <w:softHyphen/>
      </w:r>
      <w:r>
        <w:rPr>
          <w:rFonts w:hint="cs"/>
          <w:rtl/>
        </w:rPr>
        <w:t>ی اصولی برخاسته از یک دلیل لفظی تلقی می شود و ما را از استصحاب مستغنی می سازد</w:t>
      </w:r>
      <w:r w:rsidR="00874E38">
        <w:rPr>
          <w:rFonts w:hint="cs"/>
          <w:rtl/>
        </w:rPr>
        <w:t xml:space="preserve"> و اشکالاتی از قبیل عدم شمول ادله</w:t>
      </w:r>
      <w:r w:rsidR="00874E38">
        <w:rPr>
          <w:rtl/>
        </w:rPr>
        <w:softHyphen/>
      </w:r>
      <w:r w:rsidR="00874E38">
        <w:rPr>
          <w:rFonts w:hint="cs"/>
          <w:rtl/>
        </w:rPr>
        <w:t xml:space="preserve">ی استصحاب نسبت به مواردی که متوقف بر فحص است </w:t>
      </w:r>
      <w:r w:rsidR="00874E38">
        <w:rPr>
          <w:rFonts w:cs="Cambria" w:hint="cs"/>
          <w:rtl/>
        </w:rPr>
        <w:t>_</w:t>
      </w:r>
      <w:r w:rsidR="00874E38">
        <w:rPr>
          <w:rFonts w:hint="cs"/>
          <w:rtl/>
        </w:rPr>
        <w:t>کما هو المختار فی الشبهات الحکمیه</w:t>
      </w:r>
      <w:r w:rsidR="00874E38">
        <w:rPr>
          <w:rFonts w:cs="Cambria" w:hint="cs"/>
          <w:rtl/>
        </w:rPr>
        <w:t>_</w:t>
      </w:r>
      <w:r w:rsidR="00874E38">
        <w:rPr>
          <w:rFonts w:hint="cs"/>
          <w:rtl/>
        </w:rPr>
        <w:t xml:space="preserve"> دیگر مطرح نخواهد شد.</w:t>
      </w:r>
    </w:p>
    <w:p w:rsidR="00874E38" w:rsidRDefault="00874E38" w:rsidP="00EA2149">
      <w:pPr>
        <w:jc w:val="both"/>
        <w:rPr>
          <w:rtl/>
        </w:rPr>
      </w:pPr>
      <w:r>
        <w:rPr>
          <w:rFonts w:hint="cs"/>
          <w:rtl/>
        </w:rPr>
        <w:t>آیه</w:t>
      </w:r>
      <w:r>
        <w:rPr>
          <w:rtl/>
        </w:rPr>
        <w:softHyphen/>
      </w:r>
      <w:r>
        <w:rPr>
          <w:rFonts w:hint="cs"/>
          <w:rtl/>
        </w:rPr>
        <w:t>ی مورد نظر مربوط به سوره</w:t>
      </w:r>
      <w:r>
        <w:rPr>
          <w:rtl/>
        </w:rPr>
        <w:softHyphen/>
      </w:r>
      <w:r>
        <w:rPr>
          <w:rFonts w:hint="cs"/>
          <w:rtl/>
        </w:rPr>
        <w:t>ی مبارکه</w:t>
      </w:r>
      <w:r>
        <w:rPr>
          <w:rtl/>
        </w:rPr>
        <w:softHyphen/>
      </w:r>
      <w:r>
        <w:rPr>
          <w:rFonts w:hint="cs"/>
          <w:rtl/>
        </w:rPr>
        <w:t>ی قصص آیه</w:t>
      </w:r>
      <w:r>
        <w:rPr>
          <w:rtl/>
        </w:rPr>
        <w:softHyphen/>
      </w:r>
      <w:r>
        <w:rPr>
          <w:rFonts w:hint="cs"/>
          <w:rtl/>
        </w:rPr>
        <w:t>ی 27 می باشد.</w:t>
      </w:r>
    </w:p>
    <w:p w:rsidR="003D58D0" w:rsidRDefault="003D58D0" w:rsidP="00EA2149">
      <w:pPr>
        <w:pStyle w:val="Heading2"/>
        <w:jc w:val="both"/>
        <w:rPr>
          <w:rtl/>
        </w:rPr>
      </w:pPr>
      <w:bookmarkStart w:id="4" w:name="_Toc94468109"/>
      <w:r>
        <w:rPr>
          <w:rFonts w:hint="cs"/>
          <w:rtl/>
        </w:rPr>
        <w:t>چهار حکم در آیه</w:t>
      </w:r>
      <w:r>
        <w:rPr>
          <w:rtl/>
        </w:rPr>
        <w:softHyphen/>
      </w:r>
      <w:r>
        <w:rPr>
          <w:rFonts w:hint="cs"/>
          <w:rtl/>
        </w:rPr>
        <w:t>ی 27 سوره</w:t>
      </w:r>
      <w:r>
        <w:rPr>
          <w:rtl/>
        </w:rPr>
        <w:softHyphen/>
      </w:r>
      <w:r>
        <w:rPr>
          <w:rFonts w:hint="cs"/>
          <w:rtl/>
        </w:rPr>
        <w:t>ی قصص</w:t>
      </w:r>
      <w:bookmarkEnd w:id="4"/>
    </w:p>
    <w:p w:rsidR="003D58D0" w:rsidRDefault="003D58D0" w:rsidP="00EA2149">
      <w:pPr>
        <w:jc w:val="both"/>
        <w:rPr>
          <w:rtl/>
        </w:rPr>
      </w:pPr>
      <w:r>
        <w:rPr>
          <w:rFonts w:hint="cs"/>
          <w:rtl/>
        </w:rPr>
        <w:t>مرحوم سید یزدی در حاشیه</w:t>
      </w:r>
      <w:r>
        <w:rPr>
          <w:rtl/>
        </w:rPr>
        <w:softHyphen/>
      </w:r>
      <w:r>
        <w:rPr>
          <w:rFonts w:hint="cs"/>
          <w:rtl/>
        </w:rPr>
        <w:t>ی رسائل</w:t>
      </w:r>
      <w:r w:rsidR="00A60BF6">
        <w:rPr>
          <w:rStyle w:val="FootnoteReference"/>
          <w:rtl/>
        </w:rPr>
        <w:footnoteReference w:id="4"/>
      </w:r>
      <w:r>
        <w:rPr>
          <w:rFonts w:hint="cs"/>
          <w:rtl/>
        </w:rPr>
        <w:t xml:space="preserve"> می فرماید از این آیه چهار حکم استفاده می شود و در مورد ت</w:t>
      </w:r>
      <w:r w:rsidR="00A60BF6">
        <w:t>;</w:t>
      </w:r>
      <w:r>
        <w:rPr>
          <w:rFonts w:hint="cs"/>
          <w:rtl/>
        </w:rPr>
        <w:t xml:space="preserve"> تک این چهار حکم و وجود استصحاب در آن بحث می کند بدون این که به روایات ذیل آن اشاره کند و ظاهرا در هیچ یک از چهار حکم به آنچه مد نظر مرحوم شیخ انصاری بوده به درستی اشاره نشده است؛ یکی از وجوه چهارگانه ظاهرا همان است که مقصود مرحوم شیخ است ولی نه به نکته ای که مد نظر مرحوم شیخ بوده است؛ چهار </w:t>
      </w:r>
      <w:r w:rsidR="00A60BF6">
        <w:rPr>
          <w:rFonts w:hint="cs"/>
          <w:rtl/>
        </w:rPr>
        <w:t>حکم</w:t>
      </w:r>
      <w:r>
        <w:rPr>
          <w:rFonts w:hint="cs"/>
          <w:rtl/>
        </w:rPr>
        <w:t xml:space="preserve"> مذکور از این قرار است:</w:t>
      </w:r>
    </w:p>
    <w:p w:rsidR="003D58D0" w:rsidRDefault="00A60BF6" w:rsidP="00EA2149">
      <w:pPr>
        <w:pStyle w:val="ListParagraph"/>
        <w:numPr>
          <w:ilvl w:val="0"/>
          <w:numId w:val="18"/>
        </w:numPr>
        <w:jc w:val="both"/>
      </w:pPr>
      <w:r>
        <w:rPr>
          <w:rFonts w:hint="cs"/>
          <w:rtl/>
        </w:rPr>
        <w:t>حکم</w:t>
      </w:r>
      <w:r w:rsidR="003D58D0">
        <w:rPr>
          <w:rFonts w:hint="cs"/>
          <w:rtl/>
        </w:rPr>
        <w:t xml:space="preserve"> اول این است که آیا می توان مهر را برای غیر زن قرار داد چون در آیه کار کردن حضرت موسی علی نبینا و آله و علیه السلام برای خود حضرت شعیب علی نبینا و آله و علیه السلام است نه برای دخترش.</w:t>
      </w:r>
    </w:p>
    <w:p w:rsidR="003D58D0" w:rsidRDefault="00A60BF6" w:rsidP="00EA2149">
      <w:pPr>
        <w:pStyle w:val="ListParagraph"/>
        <w:numPr>
          <w:ilvl w:val="0"/>
          <w:numId w:val="18"/>
        </w:numPr>
        <w:jc w:val="both"/>
      </w:pPr>
      <w:r>
        <w:rPr>
          <w:rFonts w:hint="cs"/>
          <w:rtl/>
        </w:rPr>
        <w:t>حکم</w:t>
      </w:r>
      <w:r w:rsidR="003D58D0">
        <w:rPr>
          <w:rFonts w:hint="cs"/>
          <w:rtl/>
        </w:rPr>
        <w:t xml:space="preserve"> دوم این است که آی</w:t>
      </w:r>
      <w:r>
        <w:rPr>
          <w:rFonts w:hint="cs"/>
          <w:rtl/>
        </w:rPr>
        <w:t>ا زن می تواند مبهم باشد؛ تعبیر آ</w:t>
      </w:r>
      <w:r w:rsidR="003D58D0">
        <w:rPr>
          <w:rFonts w:hint="cs"/>
          <w:rtl/>
        </w:rPr>
        <w:t xml:space="preserve">یه این است که یکی از دو دخترم را به تزویج تو در می آورم؛ البته </w:t>
      </w:r>
      <w:r>
        <w:rPr>
          <w:rFonts w:hint="cs"/>
          <w:rtl/>
        </w:rPr>
        <w:t>ایشان می گوید این وعده است لذا</w:t>
      </w:r>
      <w:r w:rsidR="003D58D0">
        <w:rPr>
          <w:rFonts w:hint="cs"/>
          <w:rtl/>
        </w:rPr>
        <w:t xml:space="preserve"> ممکن است موقع خواندن عقد دخترش معین شده باشد.</w:t>
      </w:r>
    </w:p>
    <w:p w:rsidR="003D58D0" w:rsidRDefault="00A60BF6" w:rsidP="00EA2149">
      <w:pPr>
        <w:pStyle w:val="ListParagraph"/>
        <w:numPr>
          <w:ilvl w:val="0"/>
          <w:numId w:val="18"/>
        </w:numPr>
        <w:jc w:val="both"/>
      </w:pPr>
      <w:r>
        <w:rPr>
          <w:rFonts w:hint="cs"/>
          <w:rtl/>
        </w:rPr>
        <w:t>حکم</w:t>
      </w:r>
      <w:r w:rsidR="003D58D0">
        <w:rPr>
          <w:rFonts w:hint="cs"/>
          <w:rtl/>
        </w:rPr>
        <w:t xml:space="preserve"> سوم این است که مهریه می تواند مردد باشد چون در </w:t>
      </w:r>
      <w:r>
        <w:rPr>
          <w:rFonts w:hint="cs"/>
          <w:rtl/>
        </w:rPr>
        <w:t xml:space="preserve">این </w:t>
      </w:r>
      <w:r w:rsidR="003D58D0">
        <w:rPr>
          <w:rFonts w:hint="cs"/>
          <w:rtl/>
        </w:rPr>
        <w:t>آیه مهریه، بین هشت سال و ده سال مردد است؛ البته ایشان اشکال می کند مهریه در واقع همان هشت سال بوده و دو سال مازاد اختیاری بوده است.</w:t>
      </w:r>
    </w:p>
    <w:p w:rsidR="003D58D0" w:rsidRPr="00874E38" w:rsidRDefault="00A60BF6" w:rsidP="00EA2149">
      <w:pPr>
        <w:pStyle w:val="ListParagraph"/>
        <w:numPr>
          <w:ilvl w:val="0"/>
          <w:numId w:val="18"/>
        </w:numPr>
        <w:jc w:val="both"/>
        <w:rPr>
          <w:rtl/>
        </w:rPr>
      </w:pPr>
      <w:r>
        <w:rPr>
          <w:rFonts w:hint="cs"/>
          <w:rtl/>
        </w:rPr>
        <w:t>حکم</w:t>
      </w:r>
      <w:r w:rsidR="003D58D0">
        <w:rPr>
          <w:rFonts w:hint="cs"/>
          <w:rtl/>
        </w:rPr>
        <w:t xml:space="preserve"> چهارم </w:t>
      </w:r>
      <w:r w:rsidR="00A21678">
        <w:rPr>
          <w:rFonts w:cs="Cambria" w:hint="cs"/>
          <w:rtl/>
        </w:rPr>
        <w:t>_</w:t>
      </w:r>
      <w:r w:rsidR="003D58D0">
        <w:rPr>
          <w:rFonts w:hint="cs"/>
          <w:rtl/>
        </w:rPr>
        <w:t xml:space="preserve">که ظاهرا مد نظر شیخ است و ظاهرا </w:t>
      </w:r>
      <w:r w:rsidR="00A21678">
        <w:rPr>
          <w:rFonts w:hint="cs"/>
          <w:rtl/>
        </w:rPr>
        <w:t>مرحوم سید</w:t>
      </w:r>
      <w:r w:rsidR="003D58D0">
        <w:rPr>
          <w:rFonts w:hint="cs"/>
          <w:rtl/>
        </w:rPr>
        <w:t xml:space="preserve"> درست توضیح نداده که از چه</w:t>
      </w:r>
      <w:r w:rsidR="00A21678">
        <w:rPr>
          <w:rFonts w:hint="cs"/>
          <w:rtl/>
        </w:rPr>
        <w:t xml:space="preserve"> جهت</w:t>
      </w:r>
      <w:r w:rsidR="003D58D0">
        <w:rPr>
          <w:rFonts w:hint="cs"/>
          <w:rtl/>
        </w:rPr>
        <w:t xml:space="preserve"> مد نظر است</w:t>
      </w:r>
      <w:r w:rsidR="00A21678">
        <w:rPr>
          <w:rFonts w:cs="Cambria" w:hint="cs"/>
          <w:rtl/>
        </w:rPr>
        <w:t>_</w:t>
      </w:r>
      <w:r w:rsidR="003D58D0">
        <w:rPr>
          <w:rFonts w:hint="cs"/>
          <w:rtl/>
        </w:rPr>
        <w:t xml:space="preserve"> </w:t>
      </w:r>
      <w:r w:rsidR="00A21678">
        <w:rPr>
          <w:rFonts w:hint="cs"/>
          <w:rtl/>
        </w:rPr>
        <w:t>عبارت است از اینکه آ</w:t>
      </w:r>
      <w:r w:rsidR="003D58D0">
        <w:rPr>
          <w:rFonts w:hint="cs"/>
          <w:rtl/>
        </w:rPr>
        <w:t xml:space="preserve">یا شخص می تواند مهریه را اجیر شدن خود قرار دهد؛ صداق الاجاره یک اشکالش این است که اجاره عمل است و آیا عمل می تواند مهر قرار گیرد؟ این اشکال مهمی نیست چون پیغمبر صلوات </w:t>
      </w:r>
      <w:r w:rsidR="003D58D0">
        <w:rPr>
          <w:rFonts w:hint="cs"/>
          <w:rtl/>
        </w:rPr>
        <w:lastRenderedPageBreak/>
        <w:t>الله علیه و آله مثلا می فرمود مهریه</w:t>
      </w:r>
      <w:r w:rsidR="003D58D0">
        <w:rPr>
          <w:rtl/>
        </w:rPr>
        <w:softHyphen/>
      </w:r>
      <w:r w:rsidR="003D58D0">
        <w:rPr>
          <w:rFonts w:hint="cs"/>
          <w:rtl/>
        </w:rPr>
        <w:t>ی شما تعلیم یک سوره</w:t>
      </w:r>
      <w:r w:rsidR="003D58D0">
        <w:rPr>
          <w:rtl/>
        </w:rPr>
        <w:softHyphen/>
      </w:r>
      <w:r w:rsidR="003D58D0">
        <w:rPr>
          <w:rFonts w:hint="cs"/>
          <w:rtl/>
        </w:rPr>
        <w:t>ی قرآن است</w:t>
      </w:r>
      <w:r w:rsidR="00A21678">
        <w:rPr>
          <w:rFonts w:hint="cs"/>
          <w:rtl/>
        </w:rPr>
        <w:t>؛</w:t>
      </w:r>
      <w:r w:rsidR="003D58D0">
        <w:rPr>
          <w:rFonts w:hint="cs"/>
          <w:rtl/>
        </w:rPr>
        <w:t xml:space="preserve"> ولی مشکل دیگری که وجود دارد این است که بر اساس روایت این مهریه درست نیست یعنی نمی شود صداق را اجاره قرار داد و نباید زمان ما را با زمان حضرت موسی علی نبینا و اله و علیه السلام مقایسه کرد چون در زمان ایشان حضرت موسی علی نبینا و آله و علیه السلام مطلبی را می دانست که باعث می شود فارق بین ما و ایشان باشد.</w:t>
      </w:r>
    </w:p>
    <w:p w:rsidR="00874E38" w:rsidRDefault="00874E38" w:rsidP="00EA2149">
      <w:pPr>
        <w:pStyle w:val="Heading2"/>
        <w:jc w:val="both"/>
        <w:rPr>
          <w:rtl/>
        </w:rPr>
      </w:pPr>
      <w:bookmarkStart w:id="5" w:name="_Toc94468110"/>
      <w:r>
        <w:rPr>
          <w:rFonts w:hint="cs"/>
          <w:rtl/>
        </w:rPr>
        <w:t>اشاره به روایات مذکور در کلام مرحوم شیخ انصاری</w:t>
      </w:r>
      <w:bookmarkEnd w:id="5"/>
    </w:p>
    <w:p w:rsidR="003D58D0" w:rsidRDefault="00874E38" w:rsidP="00EA2149">
      <w:pPr>
        <w:jc w:val="both"/>
        <w:rPr>
          <w:rtl/>
        </w:rPr>
      </w:pPr>
      <w:r>
        <w:rPr>
          <w:rFonts w:hint="cs"/>
          <w:rtl/>
        </w:rPr>
        <w:t xml:space="preserve">ذیل </w:t>
      </w:r>
      <w:r w:rsidR="00DF2309">
        <w:rPr>
          <w:rFonts w:hint="cs"/>
          <w:rtl/>
        </w:rPr>
        <w:t xml:space="preserve">این </w:t>
      </w:r>
      <w:r>
        <w:rPr>
          <w:rFonts w:hint="cs"/>
          <w:rtl/>
        </w:rPr>
        <w:t>آیه</w:t>
      </w:r>
      <w:r w:rsidR="00DF2309">
        <w:rPr>
          <w:rFonts w:hint="cs"/>
          <w:rtl/>
        </w:rPr>
        <w:t>،</w:t>
      </w:r>
      <w:r>
        <w:rPr>
          <w:rFonts w:hint="cs"/>
          <w:rtl/>
        </w:rPr>
        <w:t xml:space="preserve"> دو روایت هم مضمون وارد شده است</w:t>
      </w:r>
      <w:r w:rsidR="00DF2309">
        <w:rPr>
          <w:rFonts w:hint="cs"/>
          <w:rtl/>
        </w:rPr>
        <w:t xml:space="preserve"> که یکی به لحاظ سندی معتبر است و دیگری مرسل است</w:t>
      </w:r>
      <w:r w:rsidR="00257B23">
        <w:rPr>
          <w:rFonts w:hint="cs"/>
          <w:rtl/>
        </w:rPr>
        <w:t>.</w:t>
      </w:r>
    </w:p>
    <w:p w:rsidR="003D58D0" w:rsidRPr="003D58D0" w:rsidRDefault="001D119D" w:rsidP="00EA2149">
      <w:pPr>
        <w:jc w:val="both"/>
        <w:rPr>
          <w:color w:val="000000"/>
        </w:rPr>
      </w:pPr>
      <w:r w:rsidRPr="003D58D0">
        <w:rPr>
          <w:color w:val="008000"/>
          <w:rtl/>
        </w:rPr>
        <w:t>محمد بن يعقوب: عن عدة من أصحابنا، عن سهل بن زياد، و علي بن إبراهيم، عن أبيه، جميعا</w:t>
      </w:r>
      <w:r w:rsidRPr="003D58D0">
        <w:rPr>
          <w:rFonts w:hint="cs"/>
          <w:color w:val="008000"/>
          <w:rtl/>
        </w:rPr>
        <w:t xml:space="preserve"> </w:t>
      </w:r>
      <w:r w:rsidRPr="003D58D0">
        <w:rPr>
          <w:color w:val="008000"/>
          <w:rtl/>
        </w:rPr>
        <w:t>عن أحمد بن محمد بن أبي نصر، قال: قلت لأبي الحسن (صلوات الله عليه)</w:t>
      </w:r>
      <w:r w:rsidR="003D58D0" w:rsidRPr="003D58D0">
        <w:rPr>
          <w:rFonts w:hint="cs"/>
          <w:rtl/>
        </w:rPr>
        <w:t xml:space="preserve"> </w:t>
      </w:r>
      <w:r w:rsidR="003D58D0">
        <w:rPr>
          <w:rFonts w:hint="cs"/>
          <w:rtl/>
        </w:rPr>
        <w:t>(ابا الحسنی که احمد بن محمد بن ابی نصر از او روایت می کند، امام رضا علیه السلام است)</w:t>
      </w:r>
      <w:r w:rsidRPr="003D58D0">
        <w:rPr>
          <w:color w:val="008000"/>
          <w:rtl/>
        </w:rPr>
        <w:t>، قول شعيب (عليه السلام): إِنِّي أُرِيدُ أَنْ أُنْكِحَكَ إِحْدَى ابْنَتَيَّ هاتَيْنِ عَلى‏ أَنْ تَأْجُرَنِي ثَمانِيَ حِجَجٍ فَإِنْ أَتْمَمْتَ عَشْراً فَمِنْ عِنْدِكَ‏</w:t>
      </w:r>
      <w:r w:rsidRPr="003D58D0">
        <w:rPr>
          <w:rFonts w:hint="cs"/>
          <w:color w:val="008000"/>
          <w:rtl/>
        </w:rPr>
        <w:t xml:space="preserve"> </w:t>
      </w:r>
      <w:r w:rsidRPr="003D58D0">
        <w:rPr>
          <w:color w:val="008000"/>
          <w:rtl/>
        </w:rPr>
        <w:t xml:space="preserve"> أي الأجلين قضى؟</w:t>
      </w:r>
      <w:r w:rsidRPr="003D58D0">
        <w:rPr>
          <w:rFonts w:hint="cs"/>
          <w:color w:val="008000"/>
          <w:rtl/>
        </w:rPr>
        <w:t xml:space="preserve"> </w:t>
      </w:r>
      <w:r w:rsidRPr="003D58D0">
        <w:rPr>
          <w:color w:val="008000"/>
          <w:rtl/>
        </w:rPr>
        <w:t>قال: «وفى منهما أبعدهما، عشر سنين».قلت: فدخل بها قبل أن ينقضي الشرط، أو بعد انقضائه؟ قال: «قبل أن ينقضي».قلت له: فالرجل يتزوج المرأة و يشترط لأبيها إجارة شهرين، يجوز ذلك؟ فقال: «إن موسى (صلى الله عليه) قد علم أنه سيتم له شرطه، فكيف لهذا بأن يعلم أن سيبقى حتى يفي له؟</w:t>
      </w:r>
      <w:r w:rsidR="003D58D0">
        <w:rPr>
          <w:rFonts w:hint="cs"/>
          <w:color w:val="000000"/>
          <w:rtl/>
        </w:rPr>
        <w:t xml:space="preserve"> (حضرت می فرماید حضرت موسی می دانست که می تواند این شرط را به شکل کامل ادا کند)</w:t>
      </w:r>
      <w:r w:rsidRPr="003D58D0">
        <w:rPr>
          <w:color w:val="008000"/>
          <w:rtl/>
        </w:rPr>
        <w:t xml:space="preserve"> و قد كان الرجل على عهد رسول الله (صلى الله عليه و آله) يتزوج المرأة على السورة من القرآن، و على الدرهم، و على القبضة من الحنطة».</w:t>
      </w:r>
      <w:r w:rsidR="003D58D0">
        <w:rPr>
          <w:rStyle w:val="FootnoteReference"/>
          <w:color w:val="008000"/>
          <w:rtl/>
        </w:rPr>
        <w:footnoteReference w:id="5"/>
      </w:r>
      <w:r w:rsidR="003D58D0">
        <w:rPr>
          <w:rFonts w:hint="cs"/>
          <w:color w:val="000000"/>
          <w:rtl/>
        </w:rPr>
        <w:t>(یک مرد در زمان پیغمبر صلوات الله علیه و آله مهریه را یاد دادن سوره ای از قرآن یا درهمی یا قبضه ای از گندم و امثال آن قرار می داد)</w:t>
      </w:r>
    </w:p>
    <w:p w:rsidR="00DF2309" w:rsidRDefault="003C079B" w:rsidP="00EA2149">
      <w:pPr>
        <w:jc w:val="both"/>
        <w:rPr>
          <w:color w:val="000000"/>
          <w:rtl/>
        </w:rPr>
      </w:pPr>
      <w:r>
        <w:rPr>
          <w:rFonts w:hint="cs"/>
          <w:color w:val="000000"/>
          <w:rtl/>
        </w:rPr>
        <w:t>تقریب بیان مرحوم شیخ انصاری این است که از این روایت استفاده می شود حکم شریعت سابق باید الآن هم جاری باشد و طبق آیه</w:t>
      </w:r>
      <w:r w:rsidR="00A21678">
        <w:rPr>
          <w:rFonts w:hint="cs"/>
          <w:color w:val="000000"/>
          <w:rtl/>
        </w:rPr>
        <w:t>،</w:t>
      </w:r>
      <w:r>
        <w:rPr>
          <w:rFonts w:hint="cs"/>
          <w:color w:val="000000"/>
          <w:rtl/>
        </w:rPr>
        <w:t xml:space="preserve"> هشت سال مهریه اشکال ندارد ولی امام رضا علیه السلام می فرماید حتی دو ماه هم اشکال دارد؛ امام علیه السلام در بیان فرق بین حضرت موسی و ما می فرماید حض</w:t>
      </w:r>
      <w:r w:rsidR="00A21678">
        <w:rPr>
          <w:rFonts w:hint="cs"/>
          <w:color w:val="000000"/>
          <w:rtl/>
        </w:rPr>
        <w:t>ر</w:t>
      </w:r>
      <w:r>
        <w:rPr>
          <w:rFonts w:hint="cs"/>
          <w:color w:val="000000"/>
          <w:rtl/>
        </w:rPr>
        <w:t>ت موسی علی نبینا و آله و علیه ا</w:t>
      </w:r>
      <w:r w:rsidR="00A21678">
        <w:rPr>
          <w:rFonts w:hint="cs"/>
          <w:color w:val="000000"/>
          <w:rtl/>
        </w:rPr>
        <w:t>لسلا</w:t>
      </w:r>
      <w:r>
        <w:rPr>
          <w:rFonts w:hint="cs"/>
          <w:color w:val="000000"/>
          <w:rtl/>
        </w:rPr>
        <w:t xml:space="preserve">م می دانست ده سال زنده می ماند ولو به این جهت که </w:t>
      </w:r>
      <w:r w:rsidR="00A21678">
        <w:rPr>
          <w:rFonts w:hint="cs"/>
          <w:color w:val="000000"/>
          <w:rtl/>
        </w:rPr>
        <w:t>ده سال کار پیشنهاد حضرت شعیب عل</w:t>
      </w:r>
      <w:r>
        <w:rPr>
          <w:rFonts w:hint="cs"/>
          <w:color w:val="000000"/>
          <w:rtl/>
        </w:rPr>
        <w:t xml:space="preserve">ی نبینا و آله و علیه السلام به او بوده و نبی خدا پیشنهاد نابجا نمی دهد و همین پیشنهاد موجب یقین وی شده است یا به این جهت که قبل از پیامبری حضرت موسی علی نبینا و آله و علیه السلام به ایشان </w:t>
      </w:r>
      <w:r w:rsidR="00892D39">
        <w:rPr>
          <w:rFonts w:hint="cs"/>
          <w:color w:val="000000"/>
          <w:rtl/>
        </w:rPr>
        <w:t>الهام داده بودند</w:t>
      </w:r>
      <w:r>
        <w:rPr>
          <w:rFonts w:hint="cs"/>
          <w:color w:val="000000"/>
          <w:rtl/>
        </w:rPr>
        <w:t xml:space="preserve"> که شما </w:t>
      </w:r>
      <w:r w:rsidR="00892D39">
        <w:rPr>
          <w:rFonts w:hint="cs"/>
          <w:color w:val="000000"/>
          <w:rtl/>
        </w:rPr>
        <w:t>در آینده در سن بالا پیامبر می شوید و همین الهام غیبی موجب علم ایشان شده بوده.</w:t>
      </w:r>
    </w:p>
    <w:p w:rsidR="00304181" w:rsidRDefault="00304181" w:rsidP="00EA2149">
      <w:pPr>
        <w:jc w:val="both"/>
        <w:rPr>
          <w:color w:val="000000"/>
          <w:rtl/>
        </w:rPr>
      </w:pPr>
      <w:r>
        <w:rPr>
          <w:rFonts w:hint="cs"/>
          <w:color w:val="000000"/>
          <w:rtl/>
        </w:rPr>
        <w:t>حال باید صحت و سقم این تقریب را بررسی کرد.</w:t>
      </w:r>
    </w:p>
    <w:p w:rsidR="002A325F" w:rsidRPr="003D58D0" w:rsidRDefault="002A325F" w:rsidP="00EA2149">
      <w:pPr>
        <w:jc w:val="both"/>
        <w:rPr>
          <w:color w:val="000000"/>
          <w:rtl/>
        </w:rPr>
      </w:pPr>
      <w:r>
        <w:rPr>
          <w:rFonts w:hint="cs"/>
          <w:color w:val="000000"/>
          <w:rtl/>
        </w:rPr>
        <w:lastRenderedPageBreak/>
        <w:t>یکی دو روایت دیگر نیز در این بحث وجود دارد.</w:t>
      </w:r>
    </w:p>
    <w:p w:rsidR="00FE2894" w:rsidRDefault="009A5B91" w:rsidP="00EA2149">
      <w:pPr>
        <w:jc w:val="both"/>
        <w:rPr>
          <w:color w:val="008000"/>
          <w:rtl/>
        </w:rPr>
      </w:pPr>
      <w:r w:rsidRPr="009A5B91">
        <w:rPr>
          <w:color w:val="008000"/>
          <w:rtl/>
        </w:rPr>
        <w:t>و</w:t>
      </w:r>
      <w:r w:rsidRPr="009A5B91">
        <w:rPr>
          <w:rFonts w:hint="cs"/>
          <w:color w:val="008000"/>
          <w:rtl/>
        </w:rPr>
        <w:t xml:space="preserve"> </w:t>
      </w:r>
      <w:r w:rsidRPr="009A5B91">
        <w:rPr>
          <w:color w:val="008000"/>
          <w:rtl/>
        </w:rPr>
        <w:t>عنه: عن علي بن محمد بن بندار، عن أحمد بن أبي عبد الله، عن أبيه، عن ابن سنان، عن أبي الحسن (عليه السلام)، قال: سألته عن الإجارة، فقال: «صالح، لا بأس به إذا نصح قدر طاقته، قد آجر موسى (عليه السلام) نفسه، و اشترط، فقال: إن شئت ثماني حجج، و إن شئت عشرا، فأنزل الله عز و جل فيه: أَنْ تَأْجُرَنِي ثَمانِيَ حِجَجٍ فَإِنْ أَتْمَمْتَ عَشْراً فَمِنْ عِنْدِكَ».</w:t>
      </w:r>
      <w:r w:rsidR="00C01292">
        <w:rPr>
          <w:rStyle w:val="FootnoteReference"/>
          <w:color w:val="008000"/>
          <w:rtl/>
        </w:rPr>
        <w:footnoteReference w:id="6"/>
      </w:r>
    </w:p>
    <w:p w:rsidR="009A5B91" w:rsidRDefault="009A5B91" w:rsidP="00EA2149">
      <w:pPr>
        <w:jc w:val="both"/>
        <w:rPr>
          <w:rtl/>
        </w:rPr>
      </w:pPr>
      <w:r>
        <w:rPr>
          <w:rFonts w:hint="cs"/>
          <w:rtl/>
        </w:rPr>
        <w:t>در این روایت از حضرت سؤال کردند که اگر شخصی خودش را اجاره دهد کار خوبی است و حضرت نیز در پاسخ به این سؤال با استناد به فعل حضرت موسی علی نبینا و آله و علیه السلام این کار را تأیید نموده اند بنابراین این روایت اشاره به این دارد که احکام شرائع سابقه در زمان حاضر نیز قابل استناد است.</w:t>
      </w:r>
      <w:r w:rsidR="008D1AE6">
        <w:rPr>
          <w:rFonts w:hint="cs"/>
          <w:rtl/>
        </w:rPr>
        <w:t xml:space="preserve"> بله اگر سؤال از استحباب این کار در زمان حضرت موسی عل</w:t>
      </w:r>
      <w:r w:rsidR="00A21678">
        <w:rPr>
          <w:rFonts w:hint="cs"/>
          <w:rtl/>
        </w:rPr>
        <w:t>ی</w:t>
      </w:r>
      <w:r w:rsidR="008D1AE6">
        <w:rPr>
          <w:rFonts w:hint="cs"/>
          <w:rtl/>
        </w:rPr>
        <w:t xml:space="preserve"> نبینا و آله و علیه السلام بود </w:t>
      </w:r>
      <w:r w:rsidR="00A21678">
        <w:rPr>
          <w:rFonts w:hint="cs"/>
          <w:rtl/>
        </w:rPr>
        <w:t>نمی توانستیم مطلبی در این زم</w:t>
      </w:r>
      <w:r w:rsidR="008D1AE6">
        <w:rPr>
          <w:rFonts w:hint="cs"/>
          <w:rtl/>
        </w:rPr>
        <w:t>ی</w:t>
      </w:r>
      <w:r w:rsidR="00A21678">
        <w:rPr>
          <w:rFonts w:hint="cs"/>
          <w:rtl/>
        </w:rPr>
        <w:t>ن</w:t>
      </w:r>
      <w:r w:rsidR="008D1AE6">
        <w:rPr>
          <w:rFonts w:hint="cs"/>
          <w:rtl/>
        </w:rPr>
        <w:t>ه استفاده کنیم ولی چون سؤال از استحباب</w:t>
      </w:r>
      <w:r w:rsidR="00371F55">
        <w:rPr>
          <w:rFonts w:hint="cs"/>
          <w:rtl/>
        </w:rPr>
        <w:t xml:space="preserve"> </w:t>
      </w:r>
      <w:r w:rsidR="008D1AE6">
        <w:rPr>
          <w:rFonts w:hint="cs"/>
          <w:rtl/>
        </w:rPr>
        <w:t>اجاره در زمان حاضر است و حضرت به ماجرای حضرت موسی علی نبینا و اله و علیه السلام استناد کردند ممکن است جاری بودن حکم شرائع س</w:t>
      </w:r>
      <w:r w:rsidR="00A21678">
        <w:rPr>
          <w:rFonts w:hint="cs"/>
          <w:rtl/>
        </w:rPr>
        <w:t>ابق در زمان حاضر را استفاده کنیم</w:t>
      </w:r>
      <w:r w:rsidR="00371F55">
        <w:rPr>
          <w:rFonts w:hint="cs"/>
          <w:rtl/>
        </w:rPr>
        <w:t>؛ البته صالح شاید به معنای عدم کراهت باشد نه استحباب به این بیان که اگر مکروه بود حضرت موسی این کار را نمی کرد.</w:t>
      </w:r>
    </w:p>
    <w:p w:rsidR="00371F55" w:rsidRDefault="00371F55" w:rsidP="00EA2149">
      <w:pPr>
        <w:jc w:val="both"/>
        <w:rPr>
          <w:rtl/>
        </w:rPr>
      </w:pPr>
      <w:r>
        <w:rPr>
          <w:rFonts w:hint="cs"/>
          <w:rtl/>
        </w:rPr>
        <w:t>روایت اول در نوادر احمد بن محمد بن عیسی از طریق صفوان نیز نقل شده است که به لحاظ سندی قابل تصحیح است.</w:t>
      </w:r>
      <w:r w:rsidR="00603D5B">
        <w:rPr>
          <w:rStyle w:val="FootnoteReference"/>
          <w:rtl/>
        </w:rPr>
        <w:footnoteReference w:id="7"/>
      </w:r>
    </w:p>
    <w:p w:rsidR="00371F55" w:rsidRPr="009A5B91" w:rsidRDefault="00371F55" w:rsidP="00EA2149">
      <w:pPr>
        <w:jc w:val="both"/>
        <w:rPr>
          <w:color w:val="000000"/>
          <w:rtl/>
        </w:rPr>
      </w:pPr>
      <w:r>
        <w:rPr>
          <w:rFonts w:hint="cs"/>
          <w:rtl/>
        </w:rPr>
        <w:t xml:space="preserve">بنابراین محصل تقریب استدلال این است که مقتضی عمل به احکام شرائع سابقه </w:t>
      </w:r>
      <w:r w:rsidR="00A32230">
        <w:rPr>
          <w:rFonts w:hint="cs"/>
          <w:rtl/>
        </w:rPr>
        <w:t>وجود داشته است و</w:t>
      </w:r>
      <w:r>
        <w:rPr>
          <w:rFonts w:hint="cs"/>
          <w:rtl/>
        </w:rPr>
        <w:t xml:space="preserve"> الا اگر مقتضی نداشته باشد به چه جهت</w:t>
      </w:r>
      <w:r w:rsidR="00A32230">
        <w:rPr>
          <w:rFonts w:hint="cs"/>
          <w:rtl/>
        </w:rPr>
        <w:t xml:space="preserve"> توسط امام علیه السلام</w:t>
      </w:r>
      <w:r>
        <w:rPr>
          <w:rFonts w:hint="cs"/>
          <w:rtl/>
        </w:rPr>
        <w:t xml:space="preserve"> به وجود این حکم در شرائع سابقه استناد شده و به چه جهت عدم وجود آن حکم در شریعت ما محل ا</w:t>
      </w:r>
      <w:r w:rsidR="00491A20">
        <w:rPr>
          <w:rFonts w:hint="cs"/>
          <w:rtl/>
        </w:rPr>
        <w:t xml:space="preserve">ستفهام و استفسار </w:t>
      </w:r>
      <w:r w:rsidR="00A32230">
        <w:rPr>
          <w:rFonts w:hint="cs"/>
          <w:rtl/>
        </w:rPr>
        <w:t xml:space="preserve">راوی </w:t>
      </w:r>
      <w:r w:rsidR="00491A20">
        <w:rPr>
          <w:rFonts w:hint="cs"/>
          <w:rtl/>
        </w:rPr>
        <w:t>قرار گرفته است</w:t>
      </w:r>
      <w:r w:rsidR="00A32230">
        <w:rPr>
          <w:rFonts w:hint="cs"/>
          <w:rtl/>
        </w:rPr>
        <w:t xml:space="preserve">؛ صحت و سقم این تقریب </w:t>
      </w:r>
      <w:r w:rsidR="00491A20">
        <w:rPr>
          <w:rFonts w:hint="cs"/>
          <w:rtl/>
        </w:rPr>
        <w:t>باید مورد بحث قرار گیرد.</w:t>
      </w:r>
    </w:p>
    <w:sectPr w:rsidR="00371F55" w:rsidRPr="009A5B91"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A87" w:rsidRDefault="00980A87" w:rsidP="008B750B">
      <w:pPr>
        <w:spacing w:line="240" w:lineRule="auto"/>
      </w:pPr>
      <w:r>
        <w:separator/>
      </w:r>
    </w:p>
  </w:endnote>
  <w:endnote w:type="continuationSeparator" w:id="0">
    <w:p w:rsidR="00980A87" w:rsidRDefault="00980A8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149" w:rsidRDefault="00EA21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A2149" w:rsidRPr="00EA214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63002" w:rsidP="001B6799">
          <w:pPr>
            <w:pStyle w:val="Footer"/>
            <w:bidi w:val="0"/>
            <w:rPr>
              <w:color w:val="808080" w:themeColor="background1" w:themeShade="80"/>
              <w:rtl/>
            </w:rPr>
          </w:pPr>
          <w:bookmarkStart w:id="14" w:name="BokAdres"/>
          <w:bookmarkEnd w:id="14"/>
          <w:r>
            <w:rPr>
              <w:color w:val="808080" w:themeColor="background1" w:themeShade="80"/>
            </w:rPr>
            <w:t>U1js1_1441110-075_ga1_mfeb.ir</w:t>
          </w:r>
        </w:p>
      </w:tc>
    </w:tr>
  </w:tbl>
  <w:p w:rsidR="00FA3B17" w:rsidRDefault="00FA3B17" w:rsidP="00FA5F3D">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149" w:rsidRDefault="00EA21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A87" w:rsidRDefault="00980A87" w:rsidP="008B750B">
      <w:pPr>
        <w:spacing w:line="240" w:lineRule="auto"/>
      </w:pPr>
      <w:r>
        <w:separator/>
      </w:r>
    </w:p>
  </w:footnote>
  <w:footnote w:type="continuationSeparator" w:id="0">
    <w:p w:rsidR="00980A87" w:rsidRDefault="00980A87" w:rsidP="008B750B">
      <w:pPr>
        <w:spacing w:line="240" w:lineRule="auto"/>
      </w:pPr>
      <w:r>
        <w:continuationSeparator/>
      </w:r>
    </w:p>
  </w:footnote>
  <w:footnote w:id="1">
    <w:p w:rsidR="00BB7C68" w:rsidRDefault="00BB7C68" w:rsidP="00BB7C68">
      <w:pPr>
        <w:pStyle w:val="FootnoteText"/>
      </w:pPr>
      <w:r>
        <w:rPr>
          <w:rStyle w:val="FootnoteReference"/>
        </w:rPr>
        <w:footnoteRef/>
      </w:r>
      <w:r>
        <w:rPr>
          <w:rtl/>
        </w:rPr>
        <w:t xml:space="preserve"> </w:t>
      </w:r>
      <w:r w:rsidRPr="00BB7C68">
        <w:rPr>
          <w:rtl/>
        </w:rPr>
        <w:t>فرائد الاصول، ج‏2، ص: 658</w:t>
      </w:r>
    </w:p>
  </w:footnote>
  <w:footnote w:id="2">
    <w:p w:rsidR="007C1D3B" w:rsidRDefault="007C1D3B">
      <w:pPr>
        <w:pStyle w:val="FootnoteText"/>
      </w:pPr>
      <w:r>
        <w:rPr>
          <w:rStyle w:val="FootnoteReference"/>
        </w:rPr>
        <w:footnoteRef/>
      </w:r>
      <w:r>
        <w:rPr>
          <w:rtl/>
        </w:rPr>
        <w:t xml:space="preserve"> </w:t>
      </w:r>
      <w:r w:rsidRPr="007C1D3B">
        <w:rPr>
          <w:rtl/>
        </w:rPr>
        <w:t>التبيان في تفسير القرآن، ج‏3، ص: 543</w:t>
      </w:r>
    </w:p>
  </w:footnote>
  <w:footnote w:id="3">
    <w:p w:rsidR="00A60BF6" w:rsidRDefault="00A60BF6" w:rsidP="00A60BF6">
      <w:pPr>
        <w:pStyle w:val="FootnoteText"/>
      </w:pPr>
      <w:r>
        <w:rPr>
          <w:rStyle w:val="FootnoteReference"/>
        </w:rPr>
        <w:footnoteRef/>
      </w:r>
      <w:r>
        <w:rPr>
          <w:rtl/>
        </w:rPr>
        <w:t xml:space="preserve"> </w:t>
      </w:r>
      <w:r w:rsidRPr="00A60BF6">
        <w:rPr>
          <w:rtl/>
        </w:rPr>
        <w:t>التنقيح، ج‏5، ص: 361</w:t>
      </w:r>
    </w:p>
  </w:footnote>
  <w:footnote w:id="4">
    <w:p w:rsidR="00A60BF6" w:rsidRDefault="00A60BF6" w:rsidP="00A60BF6">
      <w:pPr>
        <w:pStyle w:val="FootnoteText"/>
      </w:pPr>
      <w:r>
        <w:rPr>
          <w:rStyle w:val="FootnoteReference"/>
        </w:rPr>
        <w:footnoteRef/>
      </w:r>
      <w:r>
        <w:rPr>
          <w:rtl/>
        </w:rPr>
        <w:t xml:space="preserve"> </w:t>
      </w:r>
      <w:r w:rsidRPr="00A60BF6">
        <w:rPr>
          <w:rtl/>
        </w:rPr>
        <w:t>حاشية فرائد الأصول، ج‏3، ص: 270</w:t>
      </w:r>
    </w:p>
  </w:footnote>
  <w:footnote w:id="5">
    <w:p w:rsidR="003D58D0" w:rsidRDefault="003D58D0">
      <w:pPr>
        <w:pStyle w:val="FootnoteText"/>
      </w:pPr>
      <w:r>
        <w:rPr>
          <w:rStyle w:val="FootnoteReference"/>
        </w:rPr>
        <w:footnoteRef/>
      </w:r>
      <w:r>
        <w:rPr>
          <w:rtl/>
        </w:rPr>
        <w:t xml:space="preserve"> </w:t>
      </w:r>
      <w:r w:rsidRPr="003D58D0">
        <w:rPr>
          <w:rtl/>
        </w:rPr>
        <w:t>البرهان في تفسير القرآن، ج‏4، ص: 262</w:t>
      </w:r>
    </w:p>
  </w:footnote>
  <w:footnote w:id="6">
    <w:p w:rsidR="00C01292" w:rsidRDefault="00C01292" w:rsidP="00C01292">
      <w:pPr>
        <w:pStyle w:val="FootnoteText"/>
      </w:pPr>
      <w:r>
        <w:rPr>
          <w:rStyle w:val="FootnoteReference"/>
        </w:rPr>
        <w:footnoteRef/>
      </w:r>
      <w:r>
        <w:rPr>
          <w:rtl/>
        </w:rPr>
        <w:t xml:space="preserve"> </w:t>
      </w:r>
      <w:r w:rsidRPr="00C01292">
        <w:rPr>
          <w:rtl/>
        </w:rPr>
        <w:t xml:space="preserve">البرهان في تفسير القرآن، ج‏4، ص: </w:t>
      </w:r>
      <w:r>
        <w:rPr>
          <w:rFonts w:hint="cs"/>
          <w:rtl/>
        </w:rPr>
        <w:t>263</w:t>
      </w:r>
    </w:p>
  </w:footnote>
  <w:footnote w:id="7">
    <w:p w:rsidR="00603D5B" w:rsidRDefault="00603D5B" w:rsidP="00603D5B">
      <w:pPr>
        <w:pStyle w:val="FootnoteText"/>
      </w:pPr>
      <w:r>
        <w:rPr>
          <w:rStyle w:val="FootnoteReference"/>
        </w:rPr>
        <w:footnoteRef/>
      </w:r>
      <w:r>
        <w:t xml:space="preserve"> </w:t>
      </w:r>
      <w:r w:rsidRPr="00603D5B">
        <w:rPr>
          <w:rtl/>
        </w:rPr>
        <w:t>النوادر(للأشعري)، ص: 115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149" w:rsidRDefault="00EA21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68035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F63002">
      <w:rPr>
        <w:b/>
        <w:bCs/>
        <w:sz w:val="20"/>
        <w:szCs w:val="24"/>
        <w:rtl/>
      </w:rPr>
      <w:t>075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F6300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F63002">
      <w:rPr>
        <w:b/>
        <w:bCs/>
        <w:color w:val="632423" w:themeColor="accent2" w:themeShade="80"/>
        <w:sz w:val="20"/>
        <w:szCs w:val="24"/>
        <w:rtl/>
      </w:rPr>
      <w:t>س</w:t>
    </w:r>
    <w:r w:rsidR="00F63002">
      <w:rPr>
        <w:rFonts w:hint="cs"/>
        <w:b/>
        <w:bCs/>
        <w:color w:val="632423" w:themeColor="accent2" w:themeShade="80"/>
        <w:sz w:val="20"/>
        <w:szCs w:val="24"/>
        <w:rtl/>
      </w:rPr>
      <w:t>ی</w:t>
    </w:r>
    <w:r w:rsidR="00F63002">
      <w:rPr>
        <w:rFonts w:hint="eastAsia"/>
        <w:b/>
        <w:bCs/>
        <w:color w:val="632423" w:themeColor="accent2" w:themeShade="80"/>
        <w:sz w:val="20"/>
        <w:szCs w:val="24"/>
        <w:rtl/>
      </w:rPr>
      <w:t>د</w:t>
    </w:r>
    <w:r w:rsidR="00F63002">
      <w:rPr>
        <w:b/>
        <w:bCs/>
        <w:color w:val="632423" w:themeColor="accent2" w:themeShade="80"/>
        <w:sz w:val="20"/>
        <w:szCs w:val="24"/>
        <w:rtl/>
      </w:rPr>
      <w:t xml:space="preserve"> محمد جواد شب</w:t>
    </w:r>
    <w:r w:rsidR="00F63002">
      <w:rPr>
        <w:rFonts w:hint="cs"/>
        <w:b/>
        <w:bCs/>
        <w:color w:val="632423" w:themeColor="accent2" w:themeShade="80"/>
        <w:sz w:val="20"/>
        <w:szCs w:val="24"/>
        <w:rtl/>
      </w:rPr>
      <w:t>ی</w:t>
    </w:r>
    <w:r w:rsidR="00F63002">
      <w:rPr>
        <w:rFonts w:hint="eastAsia"/>
        <w:b/>
        <w:bCs/>
        <w:color w:val="632423" w:themeColor="accent2" w:themeShade="80"/>
        <w:sz w:val="20"/>
        <w:szCs w:val="24"/>
        <w:rtl/>
      </w:rPr>
      <w:t>ر</w:t>
    </w:r>
    <w:r w:rsidR="00F6300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F63002">
      <w:rPr>
        <w:sz w:val="24"/>
        <w:szCs w:val="24"/>
        <w:rtl/>
      </w:rPr>
      <w:t>10 /11 /</w:t>
    </w:r>
    <w:r w:rsidR="0068035D">
      <w:rPr>
        <w:rFonts w:hint="cs"/>
        <w:sz w:val="24"/>
        <w:szCs w:val="24"/>
        <w:rtl/>
      </w:rPr>
      <w:t>1400</w:t>
    </w:r>
  </w:p>
  <w:p w:rsidR="00EA2149" w:rsidRPr="00F16B53" w:rsidRDefault="00935A55" w:rsidP="00EA214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F63002">
      <w:rPr>
        <w:color w:val="000000" w:themeColor="text1"/>
        <w:sz w:val="24"/>
        <w:szCs w:val="24"/>
        <w:rtl/>
      </w:rPr>
      <w:t>تنب</w:t>
    </w:r>
    <w:r w:rsidR="00F63002">
      <w:rPr>
        <w:rFonts w:hint="cs"/>
        <w:color w:val="000000" w:themeColor="text1"/>
        <w:sz w:val="24"/>
        <w:szCs w:val="24"/>
        <w:rtl/>
      </w:rPr>
      <w:t>ی</w:t>
    </w:r>
    <w:r w:rsidR="00F63002">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FE2894">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EA2149">
      <w:rPr>
        <w:rFonts w:hint="cs"/>
        <w:sz w:val="24"/>
        <w:szCs w:val="24"/>
        <w:rtl/>
      </w:rPr>
      <w:t>استصحاب عدم نسخ</w:t>
    </w:r>
    <w:bookmarkStart w:id="13" w:name="_GoBack"/>
    <w:bookmarkEnd w:id="13"/>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149" w:rsidRDefault="00EA21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D1223"/>
    <w:multiLevelType w:val="hybridMultilevel"/>
    <w:tmpl w:val="0E543096"/>
    <w:lvl w:ilvl="0" w:tplc="9C0AA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C01DD"/>
    <w:multiLevelType w:val="hybridMultilevel"/>
    <w:tmpl w:val="3202FC3C"/>
    <w:lvl w:ilvl="0" w:tplc="78BC3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37F65"/>
    <w:multiLevelType w:val="hybridMultilevel"/>
    <w:tmpl w:val="276834E0"/>
    <w:lvl w:ilvl="0" w:tplc="D6424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5"/>
  </w:num>
  <w:num w:numId="15">
    <w:abstractNumId w:val="16"/>
  </w:num>
  <w:num w:numId="16">
    <w:abstractNumId w:val="13"/>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119D"/>
    <w:rsid w:val="001D2E9A"/>
    <w:rsid w:val="001D597F"/>
    <w:rsid w:val="001E3FD4"/>
    <w:rsid w:val="0020241A"/>
    <w:rsid w:val="00203821"/>
    <w:rsid w:val="00211632"/>
    <w:rsid w:val="0021630D"/>
    <w:rsid w:val="0024121B"/>
    <w:rsid w:val="00247D2F"/>
    <w:rsid w:val="00256560"/>
    <w:rsid w:val="00257B23"/>
    <w:rsid w:val="0027605E"/>
    <w:rsid w:val="00281E00"/>
    <w:rsid w:val="00294A52"/>
    <w:rsid w:val="002A325F"/>
    <w:rsid w:val="002B575F"/>
    <w:rsid w:val="002B729B"/>
    <w:rsid w:val="002C23B5"/>
    <w:rsid w:val="002C53A2"/>
    <w:rsid w:val="002D0040"/>
    <w:rsid w:val="002D2FA8"/>
    <w:rsid w:val="002E220F"/>
    <w:rsid w:val="00304181"/>
    <w:rsid w:val="00307311"/>
    <w:rsid w:val="0032100F"/>
    <w:rsid w:val="0033402C"/>
    <w:rsid w:val="00340521"/>
    <w:rsid w:val="00345C73"/>
    <w:rsid w:val="00354A99"/>
    <w:rsid w:val="00360311"/>
    <w:rsid w:val="00361922"/>
    <w:rsid w:val="00371F55"/>
    <w:rsid w:val="0037339B"/>
    <w:rsid w:val="00386C11"/>
    <w:rsid w:val="00397466"/>
    <w:rsid w:val="003A6148"/>
    <w:rsid w:val="003C079B"/>
    <w:rsid w:val="003C33F6"/>
    <w:rsid w:val="003C3D2E"/>
    <w:rsid w:val="003C43A5"/>
    <w:rsid w:val="003D58D0"/>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1A20"/>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03D5B"/>
    <w:rsid w:val="00612FCB"/>
    <w:rsid w:val="006162A2"/>
    <w:rsid w:val="006240DA"/>
    <w:rsid w:val="0063256E"/>
    <w:rsid w:val="00633F04"/>
    <w:rsid w:val="00635219"/>
    <w:rsid w:val="00635EC0"/>
    <w:rsid w:val="00640B58"/>
    <w:rsid w:val="00651B02"/>
    <w:rsid w:val="00651B19"/>
    <w:rsid w:val="00660A29"/>
    <w:rsid w:val="0068035D"/>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424A"/>
    <w:rsid w:val="00762452"/>
    <w:rsid w:val="007639E0"/>
    <w:rsid w:val="00775507"/>
    <w:rsid w:val="00783473"/>
    <w:rsid w:val="0078594B"/>
    <w:rsid w:val="00795E02"/>
    <w:rsid w:val="007979D0"/>
    <w:rsid w:val="007A4E18"/>
    <w:rsid w:val="007A7B8C"/>
    <w:rsid w:val="007C1D3B"/>
    <w:rsid w:val="007C6D9E"/>
    <w:rsid w:val="007C7B6C"/>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74E38"/>
    <w:rsid w:val="00892D39"/>
    <w:rsid w:val="008956DD"/>
    <w:rsid w:val="008A510E"/>
    <w:rsid w:val="008A522A"/>
    <w:rsid w:val="008B4464"/>
    <w:rsid w:val="008B750B"/>
    <w:rsid w:val="008C3162"/>
    <w:rsid w:val="008D1AE6"/>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0A87"/>
    <w:rsid w:val="009846A7"/>
    <w:rsid w:val="0098794D"/>
    <w:rsid w:val="0099497B"/>
    <w:rsid w:val="009A43BA"/>
    <w:rsid w:val="009A5B91"/>
    <w:rsid w:val="009B0D05"/>
    <w:rsid w:val="009B4CA6"/>
    <w:rsid w:val="009B79F8"/>
    <w:rsid w:val="009C66D5"/>
    <w:rsid w:val="009D13FD"/>
    <w:rsid w:val="009D266A"/>
    <w:rsid w:val="009F7E07"/>
    <w:rsid w:val="00A01522"/>
    <w:rsid w:val="00A10A11"/>
    <w:rsid w:val="00A13C6A"/>
    <w:rsid w:val="00A17B09"/>
    <w:rsid w:val="00A21678"/>
    <w:rsid w:val="00A32230"/>
    <w:rsid w:val="00A457C6"/>
    <w:rsid w:val="00A46AD0"/>
    <w:rsid w:val="00A47063"/>
    <w:rsid w:val="00A473A8"/>
    <w:rsid w:val="00A513F0"/>
    <w:rsid w:val="00A60BF6"/>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B7C68"/>
    <w:rsid w:val="00BC716B"/>
    <w:rsid w:val="00BD0E74"/>
    <w:rsid w:val="00BD5F8C"/>
    <w:rsid w:val="00BE29DD"/>
    <w:rsid w:val="00C01292"/>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F2309"/>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2149"/>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3002"/>
    <w:rsid w:val="00F64141"/>
    <w:rsid w:val="00F6635D"/>
    <w:rsid w:val="00F67508"/>
    <w:rsid w:val="00F71FC9"/>
    <w:rsid w:val="00F73B48"/>
    <w:rsid w:val="00F74F51"/>
    <w:rsid w:val="00F842AD"/>
    <w:rsid w:val="00F914EB"/>
    <w:rsid w:val="00F91B85"/>
    <w:rsid w:val="00F938E7"/>
    <w:rsid w:val="00FA3B17"/>
    <w:rsid w:val="00FA5E8D"/>
    <w:rsid w:val="00FA5F3D"/>
    <w:rsid w:val="00FB217B"/>
    <w:rsid w:val="00FB399E"/>
    <w:rsid w:val="00FB7F50"/>
    <w:rsid w:val="00FC2A85"/>
    <w:rsid w:val="00FC40AF"/>
    <w:rsid w:val="00FC73B9"/>
    <w:rsid w:val="00FD0A16"/>
    <w:rsid w:val="00FE289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2C679"/>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BF159-A0CE-493E-BCAD-1255C764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94</TotalTime>
  <Pages>1</Pages>
  <Words>1087</Words>
  <Characters>6198</Characters>
  <Application>Microsoft Office Word</Application>
  <DocSecurity>0</DocSecurity>
  <Lines>51</Lines>
  <Paragraphs>14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7271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24</cp:revision>
  <dcterms:created xsi:type="dcterms:W3CDTF">2022-01-31T03:14:00Z</dcterms:created>
  <dcterms:modified xsi:type="dcterms:W3CDTF">2022-01-31T04:49:00Z</dcterms:modified>
  <cp:contentStatus>ویرایش 2.5</cp:contentStatus>
  <cp:version>2.7</cp:version>
</cp:coreProperties>
</file>