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49356D">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457113" w:rsidRDefault="00457113" w:rsidP="0049356D">
      <w:pPr>
        <w:pStyle w:val="TOC1"/>
        <w:jc w:val="both"/>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"1-9" \h \z \u</w:instrText>
      </w:r>
      <w:r>
        <w:rPr>
          <w:noProof/>
          <w:webHidden/>
          <w:rtl/>
        </w:rPr>
        <w:instrText xml:space="preserve"> </w:instrText>
      </w:r>
      <w:r>
        <w:rPr>
          <w:noProof/>
          <w:webHidden/>
          <w:rtl/>
        </w:rPr>
        <w:fldChar w:fldCharType="separate"/>
      </w:r>
      <w:hyperlink w:anchor="_Toc97715280" w:history="1">
        <w:r w:rsidRPr="006F47CF">
          <w:rPr>
            <w:rStyle w:val="Hyperlink"/>
            <w:noProof/>
            <w:rtl/>
          </w:rPr>
          <w:t>تفاوت مثبتات امارات با مثبتات اصول عمل</w:t>
        </w:r>
        <w:r w:rsidRPr="006F47CF">
          <w:rPr>
            <w:rStyle w:val="Hyperlink"/>
            <w:rFonts w:hint="cs"/>
            <w:noProof/>
            <w:rtl/>
          </w:rPr>
          <w:t>ی</w:t>
        </w:r>
        <w:r w:rsidRPr="006F47CF">
          <w:rPr>
            <w:rStyle w:val="Hyperlink"/>
            <w:rFonts w:hint="eastAsia"/>
            <w:noProof/>
            <w:rtl/>
          </w:rPr>
          <w:t>ه</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Toc97715280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457113" w:rsidRDefault="00D1140F" w:rsidP="0049356D">
      <w:pPr>
        <w:pStyle w:val="TOC2"/>
        <w:tabs>
          <w:tab w:val="right" w:leader="dot" w:pos="10194"/>
        </w:tabs>
        <w:jc w:val="both"/>
        <w:rPr>
          <w:rFonts w:asciiTheme="minorHAnsi" w:eastAsiaTheme="minorEastAsia" w:hAnsiTheme="minorHAnsi" w:cstheme="minorBidi"/>
          <w:bCs w:val="0"/>
          <w:noProof/>
          <w:color w:val="auto"/>
          <w:szCs w:val="22"/>
          <w:rtl/>
          <w:lang w:bidi="ar-SA"/>
        </w:rPr>
      </w:pPr>
      <w:hyperlink w:anchor="_Toc97715281" w:history="1">
        <w:r w:rsidR="00457113" w:rsidRPr="006F47CF">
          <w:rPr>
            <w:rStyle w:val="Hyperlink"/>
            <w:noProof/>
            <w:rtl/>
          </w:rPr>
          <w:t>توج</w:t>
        </w:r>
        <w:r w:rsidR="00457113" w:rsidRPr="006F47CF">
          <w:rPr>
            <w:rStyle w:val="Hyperlink"/>
            <w:rFonts w:hint="cs"/>
            <w:noProof/>
            <w:rtl/>
          </w:rPr>
          <w:t>ی</w:t>
        </w:r>
        <w:r w:rsidR="00457113" w:rsidRPr="006F47CF">
          <w:rPr>
            <w:rStyle w:val="Hyperlink"/>
            <w:rFonts w:hint="eastAsia"/>
            <w:noProof/>
            <w:rtl/>
          </w:rPr>
          <w:t>ه</w:t>
        </w:r>
        <w:r w:rsidR="00457113" w:rsidRPr="006F47CF">
          <w:rPr>
            <w:rStyle w:val="Hyperlink"/>
            <w:noProof/>
            <w:rtl/>
          </w:rPr>
          <w:t xml:space="preserve"> محقق خراسان</w:t>
        </w:r>
        <w:r w:rsidR="00457113" w:rsidRPr="006F47CF">
          <w:rPr>
            <w:rStyle w:val="Hyperlink"/>
            <w:rFonts w:hint="cs"/>
            <w:noProof/>
            <w:rtl/>
          </w:rPr>
          <w:t>ی</w:t>
        </w:r>
        <w:r w:rsidR="00457113" w:rsidRPr="006F47CF">
          <w:rPr>
            <w:rStyle w:val="Hyperlink"/>
            <w:noProof/>
            <w:rtl/>
          </w:rPr>
          <w:t>: کاشف</w:t>
        </w:r>
        <w:r w:rsidR="00457113" w:rsidRPr="006F47CF">
          <w:rPr>
            <w:rStyle w:val="Hyperlink"/>
            <w:rFonts w:hint="cs"/>
            <w:noProof/>
            <w:rtl/>
          </w:rPr>
          <w:t>ی</w:t>
        </w:r>
        <w:r w:rsidR="00457113" w:rsidRPr="006F47CF">
          <w:rPr>
            <w:rStyle w:val="Hyperlink"/>
            <w:rFonts w:hint="eastAsia"/>
            <w:noProof/>
            <w:rtl/>
          </w:rPr>
          <w:t>ت</w:t>
        </w:r>
        <w:r w:rsidR="00457113" w:rsidRPr="006F47CF">
          <w:rPr>
            <w:rStyle w:val="Hyperlink"/>
            <w:noProof/>
            <w:rtl/>
          </w:rPr>
          <w:t xml:space="preserve"> اماره نسبت به مؤدا و جم</w:t>
        </w:r>
        <w:r w:rsidR="00457113" w:rsidRPr="006F47CF">
          <w:rPr>
            <w:rStyle w:val="Hyperlink"/>
            <w:rFonts w:hint="cs"/>
            <w:noProof/>
            <w:rtl/>
          </w:rPr>
          <w:t>ی</w:t>
        </w:r>
        <w:r w:rsidR="00457113" w:rsidRPr="006F47CF">
          <w:rPr>
            <w:rStyle w:val="Hyperlink"/>
            <w:rFonts w:hint="eastAsia"/>
            <w:noProof/>
            <w:rtl/>
          </w:rPr>
          <w:t>ع</w:t>
        </w:r>
        <w:r w:rsidR="00457113" w:rsidRPr="006F47CF">
          <w:rPr>
            <w:rStyle w:val="Hyperlink"/>
            <w:noProof/>
            <w:rtl/>
          </w:rPr>
          <w:t xml:space="preserve"> ما </w:t>
        </w:r>
        <w:r w:rsidR="00457113" w:rsidRPr="006F47CF">
          <w:rPr>
            <w:rStyle w:val="Hyperlink"/>
            <w:rFonts w:hint="cs"/>
            <w:noProof/>
            <w:rtl/>
          </w:rPr>
          <w:t>ی</w:t>
        </w:r>
        <w:r w:rsidR="00457113" w:rsidRPr="006F47CF">
          <w:rPr>
            <w:rStyle w:val="Hyperlink"/>
            <w:rFonts w:hint="eastAsia"/>
            <w:noProof/>
            <w:rtl/>
          </w:rPr>
          <w:t>رتبط</w:t>
        </w:r>
        <w:r w:rsidR="00457113" w:rsidRPr="006F47CF">
          <w:rPr>
            <w:rStyle w:val="Hyperlink"/>
            <w:noProof/>
            <w:rtl/>
          </w:rPr>
          <w:t xml:space="preserve"> به</w:t>
        </w:r>
        <w:r w:rsidR="00457113">
          <w:rPr>
            <w:noProof/>
            <w:webHidden/>
            <w:rtl/>
          </w:rPr>
          <w:tab/>
        </w:r>
        <w:r w:rsidR="00457113">
          <w:rPr>
            <w:noProof/>
            <w:webHidden/>
            <w:rtl/>
          </w:rPr>
          <w:fldChar w:fldCharType="begin"/>
        </w:r>
        <w:r w:rsidR="00457113">
          <w:rPr>
            <w:noProof/>
            <w:webHidden/>
            <w:rtl/>
          </w:rPr>
          <w:instrText xml:space="preserve"> </w:instrText>
        </w:r>
        <w:r w:rsidR="00457113">
          <w:rPr>
            <w:noProof/>
            <w:webHidden/>
          </w:rPr>
          <w:instrText xml:space="preserve">PAGEREF </w:instrText>
        </w:r>
        <w:r w:rsidR="00457113">
          <w:rPr>
            <w:noProof/>
            <w:webHidden/>
            <w:rtl/>
          </w:rPr>
          <w:instrText>_</w:instrText>
        </w:r>
        <w:r w:rsidR="00457113">
          <w:rPr>
            <w:noProof/>
            <w:webHidden/>
          </w:rPr>
          <w:instrText>Toc97715281 \h</w:instrText>
        </w:r>
        <w:r w:rsidR="00457113">
          <w:rPr>
            <w:noProof/>
            <w:webHidden/>
            <w:rtl/>
          </w:rPr>
          <w:instrText xml:space="preserve"> </w:instrText>
        </w:r>
        <w:r w:rsidR="00457113">
          <w:rPr>
            <w:noProof/>
            <w:webHidden/>
            <w:rtl/>
          </w:rPr>
        </w:r>
        <w:r w:rsidR="00457113">
          <w:rPr>
            <w:noProof/>
            <w:webHidden/>
            <w:rtl/>
          </w:rPr>
          <w:fldChar w:fldCharType="separate"/>
        </w:r>
        <w:r w:rsidR="00457113">
          <w:rPr>
            <w:noProof/>
            <w:webHidden/>
            <w:rtl/>
          </w:rPr>
          <w:t>1</w:t>
        </w:r>
        <w:r w:rsidR="00457113">
          <w:rPr>
            <w:noProof/>
            <w:webHidden/>
            <w:rtl/>
          </w:rPr>
          <w:fldChar w:fldCharType="end"/>
        </w:r>
      </w:hyperlink>
    </w:p>
    <w:p w:rsidR="00457113" w:rsidRDefault="00D1140F" w:rsidP="0049356D">
      <w:pPr>
        <w:pStyle w:val="TOC3"/>
        <w:tabs>
          <w:tab w:val="right" w:leader="dot" w:pos="10194"/>
        </w:tabs>
        <w:jc w:val="both"/>
        <w:rPr>
          <w:rFonts w:asciiTheme="minorHAnsi" w:eastAsiaTheme="minorEastAsia" w:hAnsiTheme="minorHAnsi" w:cstheme="minorBidi"/>
          <w:bCs w:val="0"/>
          <w:iCs w:val="0"/>
          <w:noProof/>
          <w:color w:val="auto"/>
          <w:szCs w:val="22"/>
          <w:rtl/>
          <w:lang w:bidi="ar-SA"/>
        </w:rPr>
      </w:pPr>
      <w:hyperlink w:anchor="_Toc97715282" w:history="1">
        <w:r w:rsidR="00457113" w:rsidRPr="006F47CF">
          <w:rPr>
            <w:rStyle w:val="Hyperlink"/>
            <w:noProof/>
            <w:rtl/>
          </w:rPr>
          <w:t>اشکال محقق نائ</w:t>
        </w:r>
        <w:r w:rsidR="00457113" w:rsidRPr="006F47CF">
          <w:rPr>
            <w:rStyle w:val="Hyperlink"/>
            <w:rFonts w:hint="cs"/>
            <w:noProof/>
            <w:rtl/>
          </w:rPr>
          <w:t>ی</w:t>
        </w:r>
        <w:r w:rsidR="00457113" w:rsidRPr="006F47CF">
          <w:rPr>
            <w:rStyle w:val="Hyperlink"/>
            <w:rFonts w:hint="eastAsia"/>
            <w:noProof/>
            <w:rtl/>
          </w:rPr>
          <w:t>ن</w:t>
        </w:r>
        <w:r w:rsidR="00457113" w:rsidRPr="006F47CF">
          <w:rPr>
            <w:rStyle w:val="Hyperlink"/>
            <w:rFonts w:hint="cs"/>
            <w:noProof/>
            <w:rtl/>
          </w:rPr>
          <w:t>ی</w:t>
        </w:r>
        <w:r w:rsidR="00457113" w:rsidRPr="006F47CF">
          <w:rPr>
            <w:rStyle w:val="Hyperlink"/>
            <w:noProof/>
            <w:rtl/>
          </w:rPr>
          <w:t xml:space="preserve"> به توج</w:t>
        </w:r>
        <w:r w:rsidR="00457113" w:rsidRPr="006F47CF">
          <w:rPr>
            <w:rStyle w:val="Hyperlink"/>
            <w:rFonts w:hint="cs"/>
            <w:noProof/>
            <w:rtl/>
          </w:rPr>
          <w:t>ی</w:t>
        </w:r>
        <w:r w:rsidR="00457113" w:rsidRPr="006F47CF">
          <w:rPr>
            <w:rStyle w:val="Hyperlink"/>
            <w:rFonts w:hint="eastAsia"/>
            <w:noProof/>
            <w:rtl/>
          </w:rPr>
          <w:t>ه</w:t>
        </w:r>
        <w:r w:rsidR="00457113" w:rsidRPr="006F47CF">
          <w:rPr>
            <w:rStyle w:val="Hyperlink"/>
            <w:noProof/>
            <w:rtl/>
          </w:rPr>
          <w:t xml:space="preserve"> محقق خراسان</w:t>
        </w:r>
        <w:r w:rsidR="00457113" w:rsidRPr="006F47CF">
          <w:rPr>
            <w:rStyle w:val="Hyperlink"/>
            <w:rFonts w:hint="cs"/>
            <w:noProof/>
            <w:rtl/>
          </w:rPr>
          <w:t>ی</w:t>
        </w:r>
        <w:r w:rsidR="00457113" w:rsidRPr="006F47CF">
          <w:rPr>
            <w:rStyle w:val="Hyperlink"/>
            <w:noProof/>
            <w:rtl/>
          </w:rPr>
          <w:t>: توقف حکا</w:t>
        </w:r>
        <w:r w:rsidR="00457113" w:rsidRPr="006F47CF">
          <w:rPr>
            <w:rStyle w:val="Hyperlink"/>
            <w:rFonts w:hint="cs"/>
            <w:noProof/>
            <w:rtl/>
          </w:rPr>
          <w:t>ی</w:t>
        </w:r>
        <w:r w:rsidR="00457113" w:rsidRPr="006F47CF">
          <w:rPr>
            <w:rStyle w:val="Hyperlink"/>
            <w:rFonts w:hint="eastAsia"/>
            <w:noProof/>
            <w:rtl/>
          </w:rPr>
          <w:t>ت</w:t>
        </w:r>
        <w:r w:rsidR="00457113" w:rsidRPr="006F47CF">
          <w:rPr>
            <w:rStyle w:val="Hyperlink"/>
            <w:noProof/>
            <w:rtl/>
          </w:rPr>
          <w:t xml:space="preserve"> بر التفات و قصد</w:t>
        </w:r>
        <w:r w:rsidR="00457113">
          <w:rPr>
            <w:noProof/>
            <w:webHidden/>
            <w:rtl/>
          </w:rPr>
          <w:tab/>
        </w:r>
        <w:r w:rsidR="00457113">
          <w:rPr>
            <w:noProof/>
            <w:webHidden/>
            <w:rtl/>
          </w:rPr>
          <w:fldChar w:fldCharType="begin"/>
        </w:r>
        <w:r w:rsidR="00457113">
          <w:rPr>
            <w:noProof/>
            <w:webHidden/>
            <w:rtl/>
          </w:rPr>
          <w:instrText xml:space="preserve"> </w:instrText>
        </w:r>
        <w:r w:rsidR="00457113">
          <w:rPr>
            <w:noProof/>
            <w:webHidden/>
          </w:rPr>
          <w:instrText xml:space="preserve">PAGEREF </w:instrText>
        </w:r>
        <w:r w:rsidR="00457113">
          <w:rPr>
            <w:noProof/>
            <w:webHidden/>
            <w:rtl/>
          </w:rPr>
          <w:instrText>_</w:instrText>
        </w:r>
        <w:r w:rsidR="00457113">
          <w:rPr>
            <w:noProof/>
            <w:webHidden/>
          </w:rPr>
          <w:instrText>Toc97715282 \h</w:instrText>
        </w:r>
        <w:r w:rsidR="00457113">
          <w:rPr>
            <w:noProof/>
            <w:webHidden/>
            <w:rtl/>
          </w:rPr>
          <w:instrText xml:space="preserve"> </w:instrText>
        </w:r>
        <w:r w:rsidR="00457113">
          <w:rPr>
            <w:noProof/>
            <w:webHidden/>
            <w:rtl/>
          </w:rPr>
        </w:r>
        <w:r w:rsidR="00457113">
          <w:rPr>
            <w:noProof/>
            <w:webHidden/>
            <w:rtl/>
          </w:rPr>
          <w:fldChar w:fldCharType="separate"/>
        </w:r>
        <w:r w:rsidR="00457113">
          <w:rPr>
            <w:noProof/>
            <w:webHidden/>
            <w:rtl/>
          </w:rPr>
          <w:t>1</w:t>
        </w:r>
        <w:r w:rsidR="00457113">
          <w:rPr>
            <w:noProof/>
            <w:webHidden/>
            <w:rtl/>
          </w:rPr>
          <w:fldChar w:fldCharType="end"/>
        </w:r>
      </w:hyperlink>
    </w:p>
    <w:p w:rsidR="00457113" w:rsidRDefault="00D1140F" w:rsidP="0049356D">
      <w:pPr>
        <w:pStyle w:val="TOC4"/>
        <w:tabs>
          <w:tab w:val="right" w:leader="dot" w:pos="10194"/>
        </w:tabs>
        <w:jc w:val="both"/>
        <w:rPr>
          <w:rFonts w:asciiTheme="minorHAnsi" w:eastAsiaTheme="minorEastAsia" w:hAnsiTheme="minorHAnsi" w:cstheme="minorBidi"/>
          <w:bCs w:val="0"/>
          <w:noProof/>
          <w:color w:val="auto"/>
          <w:szCs w:val="22"/>
          <w:rtl/>
          <w:lang w:bidi="ar-SA"/>
        </w:rPr>
      </w:pPr>
      <w:hyperlink w:anchor="_Toc97715283" w:history="1">
        <w:r w:rsidR="00457113" w:rsidRPr="006F47CF">
          <w:rPr>
            <w:rStyle w:val="Hyperlink"/>
            <w:noProof/>
            <w:rtl/>
          </w:rPr>
          <w:t>پاسخ استاد از اشکال محقق نائ</w:t>
        </w:r>
        <w:r w:rsidR="00457113" w:rsidRPr="006F47CF">
          <w:rPr>
            <w:rStyle w:val="Hyperlink"/>
            <w:rFonts w:hint="cs"/>
            <w:noProof/>
            <w:rtl/>
          </w:rPr>
          <w:t>ی</w:t>
        </w:r>
        <w:r w:rsidR="00457113" w:rsidRPr="006F47CF">
          <w:rPr>
            <w:rStyle w:val="Hyperlink"/>
            <w:rFonts w:hint="eastAsia"/>
            <w:noProof/>
            <w:rtl/>
          </w:rPr>
          <w:t>ن</w:t>
        </w:r>
        <w:r w:rsidR="00457113" w:rsidRPr="006F47CF">
          <w:rPr>
            <w:rStyle w:val="Hyperlink"/>
            <w:rFonts w:hint="cs"/>
            <w:noProof/>
            <w:rtl/>
          </w:rPr>
          <w:t>ی</w:t>
        </w:r>
        <w:r w:rsidR="00457113">
          <w:rPr>
            <w:noProof/>
            <w:webHidden/>
            <w:rtl/>
          </w:rPr>
          <w:tab/>
        </w:r>
        <w:r w:rsidR="00457113">
          <w:rPr>
            <w:noProof/>
            <w:webHidden/>
            <w:rtl/>
          </w:rPr>
          <w:fldChar w:fldCharType="begin"/>
        </w:r>
        <w:r w:rsidR="00457113">
          <w:rPr>
            <w:noProof/>
            <w:webHidden/>
            <w:rtl/>
          </w:rPr>
          <w:instrText xml:space="preserve"> </w:instrText>
        </w:r>
        <w:r w:rsidR="00457113">
          <w:rPr>
            <w:noProof/>
            <w:webHidden/>
          </w:rPr>
          <w:instrText xml:space="preserve">PAGEREF </w:instrText>
        </w:r>
        <w:r w:rsidR="00457113">
          <w:rPr>
            <w:noProof/>
            <w:webHidden/>
            <w:rtl/>
          </w:rPr>
          <w:instrText>_</w:instrText>
        </w:r>
        <w:r w:rsidR="00457113">
          <w:rPr>
            <w:noProof/>
            <w:webHidden/>
          </w:rPr>
          <w:instrText>Toc97715283 \h</w:instrText>
        </w:r>
        <w:r w:rsidR="00457113">
          <w:rPr>
            <w:noProof/>
            <w:webHidden/>
            <w:rtl/>
          </w:rPr>
          <w:instrText xml:space="preserve"> </w:instrText>
        </w:r>
        <w:r w:rsidR="00457113">
          <w:rPr>
            <w:noProof/>
            <w:webHidden/>
            <w:rtl/>
          </w:rPr>
        </w:r>
        <w:r w:rsidR="00457113">
          <w:rPr>
            <w:noProof/>
            <w:webHidden/>
            <w:rtl/>
          </w:rPr>
          <w:fldChar w:fldCharType="separate"/>
        </w:r>
        <w:r w:rsidR="00457113">
          <w:rPr>
            <w:noProof/>
            <w:webHidden/>
            <w:rtl/>
          </w:rPr>
          <w:t>2</w:t>
        </w:r>
        <w:r w:rsidR="00457113">
          <w:rPr>
            <w:noProof/>
            <w:webHidden/>
            <w:rtl/>
          </w:rPr>
          <w:fldChar w:fldCharType="end"/>
        </w:r>
      </w:hyperlink>
    </w:p>
    <w:p w:rsidR="00457113" w:rsidRDefault="00D1140F" w:rsidP="0049356D">
      <w:pPr>
        <w:pStyle w:val="TOC2"/>
        <w:tabs>
          <w:tab w:val="right" w:leader="dot" w:pos="10194"/>
        </w:tabs>
        <w:jc w:val="both"/>
        <w:rPr>
          <w:rFonts w:asciiTheme="minorHAnsi" w:eastAsiaTheme="minorEastAsia" w:hAnsiTheme="minorHAnsi" w:cstheme="minorBidi"/>
          <w:bCs w:val="0"/>
          <w:noProof/>
          <w:color w:val="auto"/>
          <w:szCs w:val="22"/>
          <w:rtl/>
          <w:lang w:bidi="ar-SA"/>
        </w:rPr>
      </w:pPr>
      <w:hyperlink w:anchor="_Toc97715284" w:history="1">
        <w:r w:rsidR="00457113" w:rsidRPr="006F47CF">
          <w:rPr>
            <w:rStyle w:val="Hyperlink"/>
            <w:noProof/>
            <w:rtl/>
          </w:rPr>
          <w:t>اشاره به مبنا</w:t>
        </w:r>
        <w:r w:rsidR="00457113" w:rsidRPr="006F47CF">
          <w:rPr>
            <w:rStyle w:val="Hyperlink"/>
            <w:rFonts w:hint="cs"/>
            <w:noProof/>
            <w:rtl/>
          </w:rPr>
          <w:t>ی</w:t>
        </w:r>
        <w:r w:rsidR="00457113" w:rsidRPr="006F47CF">
          <w:rPr>
            <w:rStyle w:val="Hyperlink"/>
            <w:noProof/>
            <w:rtl/>
          </w:rPr>
          <w:t xml:space="preserve"> مرحوم آقا</w:t>
        </w:r>
        <w:r w:rsidR="00457113" w:rsidRPr="006F47CF">
          <w:rPr>
            <w:rStyle w:val="Hyperlink"/>
            <w:rFonts w:hint="cs"/>
            <w:noProof/>
            <w:rtl/>
          </w:rPr>
          <w:t>ی</w:t>
        </w:r>
        <w:r w:rsidR="00457113" w:rsidRPr="006F47CF">
          <w:rPr>
            <w:rStyle w:val="Hyperlink"/>
            <w:noProof/>
            <w:rtl/>
          </w:rPr>
          <w:t xml:space="preserve"> صدر در مناط حج</w:t>
        </w:r>
        <w:r w:rsidR="00457113" w:rsidRPr="006F47CF">
          <w:rPr>
            <w:rStyle w:val="Hyperlink"/>
            <w:rFonts w:hint="cs"/>
            <w:noProof/>
            <w:rtl/>
          </w:rPr>
          <w:t>ی</w:t>
        </w:r>
        <w:r w:rsidR="00457113" w:rsidRPr="006F47CF">
          <w:rPr>
            <w:rStyle w:val="Hyperlink"/>
            <w:rFonts w:hint="eastAsia"/>
            <w:noProof/>
            <w:rtl/>
          </w:rPr>
          <w:t>ت</w:t>
        </w:r>
        <w:r w:rsidR="00457113" w:rsidRPr="006F47CF">
          <w:rPr>
            <w:rStyle w:val="Hyperlink"/>
            <w:noProof/>
            <w:rtl/>
          </w:rPr>
          <w:t xml:space="preserve"> امارات و اصول عمل</w:t>
        </w:r>
        <w:r w:rsidR="00457113" w:rsidRPr="006F47CF">
          <w:rPr>
            <w:rStyle w:val="Hyperlink"/>
            <w:rFonts w:hint="cs"/>
            <w:noProof/>
            <w:rtl/>
          </w:rPr>
          <w:t>ی</w:t>
        </w:r>
        <w:r w:rsidR="00457113" w:rsidRPr="006F47CF">
          <w:rPr>
            <w:rStyle w:val="Hyperlink"/>
            <w:rFonts w:hint="eastAsia"/>
            <w:noProof/>
            <w:rtl/>
          </w:rPr>
          <w:t>ه</w:t>
        </w:r>
        <w:r w:rsidR="00457113">
          <w:rPr>
            <w:noProof/>
            <w:webHidden/>
            <w:rtl/>
          </w:rPr>
          <w:tab/>
        </w:r>
        <w:r w:rsidR="00457113">
          <w:rPr>
            <w:noProof/>
            <w:webHidden/>
            <w:rtl/>
          </w:rPr>
          <w:fldChar w:fldCharType="begin"/>
        </w:r>
        <w:r w:rsidR="00457113">
          <w:rPr>
            <w:noProof/>
            <w:webHidden/>
            <w:rtl/>
          </w:rPr>
          <w:instrText xml:space="preserve"> </w:instrText>
        </w:r>
        <w:r w:rsidR="00457113">
          <w:rPr>
            <w:noProof/>
            <w:webHidden/>
          </w:rPr>
          <w:instrText xml:space="preserve">PAGEREF </w:instrText>
        </w:r>
        <w:r w:rsidR="00457113">
          <w:rPr>
            <w:noProof/>
            <w:webHidden/>
            <w:rtl/>
          </w:rPr>
          <w:instrText>_</w:instrText>
        </w:r>
        <w:r w:rsidR="00457113">
          <w:rPr>
            <w:noProof/>
            <w:webHidden/>
          </w:rPr>
          <w:instrText>Toc97715284 \h</w:instrText>
        </w:r>
        <w:r w:rsidR="00457113">
          <w:rPr>
            <w:noProof/>
            <w:webHidden/>
            <w:rtl/>
          </w:rPr>
          <w:instrText xml:space="preserve"> </w:instrText>
        </w:r>
        <w:r w:rsidR="00457113">
          <w:rPr>
            <w:noProof/>
            <w:webHidden/>
            <w:rtl/>
          </w:rPr>
        </w:r>
        <w:r w:rsidR="00457113">
          <w:rPr>
            <w:noProof/>
            <w:webHidden/>
            <w:rtl/>
          </w:rPr>
          <w:fldChar w:fldCharType="separate"/>
        </w:r>
        <w:r w:rsidR="00457113">
          <w:rPr>
            <w:noProof/>
            <w:webHidden/>
            <w:rtl/>
          </w:rPr>
          <w:t>3</w:t>
        </w:r>
        <w:r w:rsidR="00457113">
          <w:rPr>
            <w:noProof/>
            <w:webHidden/>
            <w:rtl/>
          </w:rPr>
          <w:fldChar w:fldCharType="end"/>
        </w:r>
      </w:hyperlink>
    </w:p>
    <w:p w:rsidR="00457113" w:rsidRDefault="00D1140F" w:rsidP="0049356D">
      <w:pPr>
        <w:pStyle w:val="TOC3"/>
        <w:tabs>
          <w:tab w:val="right" w:leader="dot" w:pos="10194"/>
        </w:tabs>
        <w:jc w:val="both"/>
        <w:rPr>
          <w:rFonts w:asciiTheme="minorHAnsi" w:eastAsiaTheme="minorEastAsia" w:hAnsiTheme="minorHAnsi" w:cstheme="minorBidi"/>
          <w:bCs w:val="0"/>
          <w:iCs w:val="0"/>
          <w:noProof/>
          <w:color w:val="auto"/>
          <w:szCs w:val="22"/>
          <w:rtl/>
          <w:lang w:bidi="ar-SA"/>
        </w:rPr>
      </w:pPr>
      <w:hyperlink w:anchor="_Toc97715285" w:history="1">
        <w:r w:rsidR="00457113" w:rsidRPr="006F47CF">
          <w:rPr>
            <w:rStyle w:val="Hyperlink"/>
            <w:noProof/>
            <w:rtl/>
          </w:rPr>
          <w:t>اشکال مرحوم آقا</w:t>
        </w:r>
        <w:r w:rsidR="00457113" w:rsidRPr="006F47CF">
          <w:rPr>
            <w:rStyle w:val="Hyperlink"/>
            <w:rFonts w:hint="cs"/>
            <w:noProof/>
            <w:rtl/>
          </w:rPr>
          <w:t>ی</w:t>
        </w:r>
        <w:r w:rsidR="00457113" w:rsidRPr="006F47CF">
          <w:rPr>
            <w:rStyle w:val="Hyperlink"/>
            <w:noProof/>
            <w:rtl/>
          </w:rPr>
          <w:t xml:space="preserve"> هاشم</w:t>
        </w:r>
        <w:r w:rsidR="00457113" w:rsidRPr="006F47CF">
          <w:rPr>
            <w:rStyle w:val="Hyperlink"/>
            <w:rFonts w:hint="cs"/>
            <w:noProof/>
            <w:rtl/>
          </w:rPr>
          <w:t>ی</w:t>
        </w:r>
        <w:r w:rsidR="00457113" w:rsidRPr="006F47CF">
          <w:rPr>
            <w:rStyle w:val="Hyperlink"/>
            <w:noProof/>
            <w:rtl/>
          </w:rPr>
          <w:t xml:space="preserve"> به مبنا</w:t>
        </w:r>
        <w:r w:rsidR="00457113" w:rsidRPr="006F47CF">
          <w:rPr>
            <w:rStyle w:val="Hyperlink"/>
            <w:rFonts w:hint="cs"/>
            <w:noProof/>
            <w:rtl/>
          </w:rPr>
          <w:t>ی</w:t>
        </w:r>
        <w:r w:rsidR="00457113" w:rsidRPr="006F47CF">
          <w:rPr>
            <w:rStyle w:val="Hyperlink"/>
            <w:noProof/>
            <w:rtl/>
          </w:rPr>
          <w:t xml:space="preserve"> مرحوم آقا</w:t>
        </w:r>
        <w:r w:rsidR="00457113" w:rsidRPr="006F47CF">
          <w:rPr>
            <w:rStyle w:val="Hyperlink"/>
            <w:rFonts w:hint="cs"/>
            <w:noProof/>
            <w:rtl/>
          </w:rPr>
          <w:t>ی</w:t>
        </w:r>
        <w:r w:rsidR="00457113" w:rsidRPr="006F47CF">
          <w:rPr>
            <w:rStyle w:val="Hyperlink"/>
            <w:noProof/>
            <w:rtl/>
          </w:rPr>
          <w:t xml:space="preserve"> صدر</w:t>
        </w:r>
        <w:r w:rsidR="00457113">
          <w:rPr>
            <w:noProof/>
            <w:webHidden/>
            <w:rtl/>
          </w:rPr>
          <w:tab/>
        </w:r>
        <w:r w:rsidR="00457113">
          <w:rPr>
            <w:noProof/>
            <w:webHidden/>
            <w:rtl/>
          </w:rPr>
          <w:fldChar w:fldCharType="begin"/>
        </w:r>
        <w:r w:rsidR="00457113">
          <w:rPr>
            <w:noProof/>
            <w:webHidden/>
            <w:rtl/>
          </w:rPr>
          <w:instrText xml:space="preserve"> </w:instrText>
        </w:r>
        <w:r w:rsidR="00457113">
          <w:rPr>
            <w:noProof/>
            <w:webHidden/>
          </w:rPr>
          <w:instrText xml:space="preserve">PAGEREF </w:instrText>
        </w:r>
        <w:r w:rsidR="00457113">
          <w:rPr>
            <w:noProof/>
            <w:webHidden/>
            <w:rtl/>
          </w:rPr>
          <w:instrText>_</w:instrText>
        </w:r>
        <w:r w:rsidR="00457113">
          <w:rPr>
            <w:noProof/>
            <w:webHidden/>
          </w:rPr>
          <w:instrText>Toc97715285 \h</w:instrText>
        </w:r>
        <w:r w:rsidR="00457113">
          <w:rPr>
            <w:noProof/>
            <w:webHidden/>
            <w:rtl/>
          </w:rPr>
          <w:instrText xml:space="preserve"> </w:instrText>
        </w:r>
        <w:r w:rsidR="00457113">
          <w:rPr>
            <w:noProof/>
            <w:webHidden/>
            <w:rtl/>
          </w:rPr>
        </w:r>
        <w:r w:rsidR="00457113">
          <w:rPr>
            <w:noProof/>
            <w:webHidden/>
            <w:rtl/>
          </w:rPr>
          <w:fldChar w:fldCharType="separate"/>
        </w:r>
        <w:r w:rsidR="00457113">
          <w:rPr>
            <w:noProof/>
            <w:webHidden/>
            <w:rtl/>
          </w:rPr>
          <w:t>4</w:t>
        </w:r>
        <w:r w:rsidR="00457113">
          <w:rPr>
            <w:noProof/>
            <w:webHidden/>
            <w:rtl/>
          </w:rPr>
          <w:fldChar w:fldCharType="end"/>
        </w:r>
      </w:hyperlink>
    </w:p>
    <w:p w:rsidR="00C91EB6" w:rsidRPr="00C91EB6" w:rsidRDefault="00457113" w:rsidP="0049356D">
      <w:pPr>
        <w:jc w:val="both"/>
      </w:pPr>
      <w:r>
        <w:rPr>
          <w:rFonts w:cs="B Titr"/>
          <w:noProof/>
          <w:webHidden/>
          <w:color w:val="632423" w:themeColor="accent2" w:themeShade="80"/>
          <w:szCs w:val="24"/>
          <w:rtl/>
        </w:rPr>
        <w:fldChar w:fldCharType="end"/>
      </w:r>
    </w:p>
    <w:p w:rsidR="00F343FB" w:rsidRPr="00A6366F" w:rsidRDefault="00F842AD" w:rsidP="0049356D">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B926B3">
        <w:rPr>
          <w:rtl/>
        </w:rPr>
        <w:t>اصل مثبت</w:t>
      </w:r>
      <w:r w:rsidR="00025B70">
        <w:rPr>
          <w:rFonts w:hint="cs"/>
          <w:rtl/>
        </w:rPr>
        <w:t xml:space="preserve"> </w:t>
      </w:r>
      <w:r w:rsidR="00386C11" w:rsidRPr="00A6366F">
        <w:rPr>
          <w:rFonts w:hint="cs"/>
          <w:rtl/>
        </w:rPr>
        <w:t>/</w:t>
      </w:r>
      <w:bookmarkStart w:id="1" w:name="BokSabj_d"/>
      <w:bookmarkEnd w:id="1"/>
      <w:r w:rsidR="00B926B3">
        <w:rPr>
          <w:rtl/>
        </w:rPr>
        <w:t>تنب</w:t>
      </w:r>
      <w:r w:rsidR="00B926B3">
        <w:rPr>
          <w:rFonts w:hint="cs"/>
          <w:rtl/>
        </w:rPr>
        <w:t>ی</w:t>
      </w:r>
      <w:r w:rsidR="00B926B3">
        <w:rPr>
          <w:rFonts w:hint="eastAsia"/>
          <w:rtl/>
        </w:rPr>
        <w:t>هات</w:t>
      </w:r>
      <w:r w:rsidR="00B926B3">
        <w:rPr>
          <w:rtl/>
        </w:rPr>
        <w:t xml:space="preserve"> استصحاب</w:t>
      </w:r>
      <w:r w:rsidR="00386C11" w:rsidRPr="00A6366F">
        <w:rPr>
          <w:rFonts w:hint="cs"/>
          <w:rtl/>
        </w:rPr>
        <w:t xml:space="preserve"> /</w:t>
      </w:r>
      <w:bookmarkStart w:id="2" w:name="Bokkolli"/>
      <w:bookmarkEnd w:id="2"/>
      <w:r w:rsidR="00B926B3">
        <w:rPr>
          <w:rtl/>
        </w:rPr>
        <w:t>استصحاب</w:t>
      </w:r>
      <w:r w:rsidR="001B6799" w:rsidRPr="00A6366F">
        <w:rPr>
          <w:rFonts w:hint="cs"/>
          <w:rtl/>
        </w:rPr>
        <w:t xml:space="preserve"> </w:t>
      </w:r>
    </w:p>
    <w:p w:rsidR="008F5B4D" w:rsidRPr="009C66D5" w:rsidRDefault="008F5B4D" w:rsidP="0049356D">
      <w:pPr>
        <w:jc w:val="both"/>
        <w:rPr>
          <w:rStyle w:val="Emphasis"/>
          <w:b/>
          <w:bCs w:val="0"/>
          <w:rtl/>
        </w:rPr>
      </w:pPr>
      <w:r w:rsidRPr="009C66D5">
        <w:rPr>
          <w:rStyle w:val="Emphasis"/>
          <w:rFonts w:hint="cs"/>
          <w:b/>
          <w:bCs w:val="0"/>
          <w:rtl/>
        </w:rPr>
        <w:t>خلاصه مباحث گذشته:</w:t>
      </w:r>
    </w:p>
    <w:p w:rsidR="003A6148" w:rsidRDefault="00334B4D" w:rsidP="0049356D">
      <w:pPr>
        <w:pBdr>
          <w:bottom w:val="double" w:sz="6" w:space="1" w:color="auto"/>
        </w:pBdr>
        <w:jc w:val="both"/>
        <w:rPr>
          <w:rtl/>
        </w:rPr>
      </w:pPr>
      <w:r>
        <w:rPr>
          <w:rFonts w:hint="cs"/>
          <w:rtl/>
        </w:rPr>
        <w:t>در جلسۀ گذشته به بیان فرق بین مثبتات امارات و مثبتات اصول عملیه وارد شدیم به توجیهاتی در کلمات بزرگان در این زمینه اشاره کردیم.</w:t>
      </w:r>
    </w:p>
    <w:p w:rsidR="00334B4D" w:rsidRDefault="00334B4D" w:rsidP="0049356D">
      <w:pPr>
        <w:pBdr>
          <w:bottom w:val="double" w:sz="6" w:space="1" w:color="auto"/>
        </w:pBdr>
        <w:jc w:val="both"/>
        <w:rPr>
          <w:rtl/>
        </w:rPr>
      </w:pPr>
      <w:r>
        <w:rPr>
          <w:rFonts w:hint="cs"/>
          <w:rtl/>
        </w:rPr>
        <w:t>در این جلسه به ادامۀ توجیه فرق بین مثبتات امارات و مثبتات اصول عملیه می پردازیم.</w:t>
      </w:r>
    </w:p>
    <w:p w:rsidR="00247D2F" w:rsidRPr="003A6148" w:rsidRDefault="00247D2F" w:rsidP="0049356D">
      <w:pPr>
        <w:pBdr>
          <w:bottom w:val="double" w:sz="6" w:space="1" w:color="auto"/>
        </w:pBdr>
        <w:jc w:val="both"/>
      </w:pPr>
    </w:p>
    <w:p w:rsidR="008F5B4D" w:rsidRDefault="008F5B4D" w:rsidP="0049356D">
      <w:pPr>
        <w:jc w:val="both"/>
      </w:pPr>
    </w:p>
    <w:p w:rsidR="003E6650" w:rsidRPr="001A27D7" w:rsidRDefault="00F92292" w:rsidP="0049356D">
      <w:pPr>
        <w:pStyle w:val="Heading1"/>
        <w:jc w:val="both"/>
        <w:rPr>
          <w:rtl/>
        </w:rPr>
      </w:pPr>
      <w:bookmarkStart w:id="3" w:name="_Toc97715280"/>
      <w:r>
        <w:rPr>
          <w:rFonts w:hint="cs"/>
          <w:rtl/>
        </w:rPr>
        <w:t>تفاوت مثبتات امارات با مثبتات اصول عملیه</w:t>
      </w:r>
      <w:bookmarkEnd w:id="3"/>
    </w:p>
    <w:p w:rsidR="00F92292" w:rsidRDefault="00F92292" w:rsidP="0049356D">
      <w:pPr>
        <w:jc w:val="both"/>
        <w:rPr>
          <w:rtl/>
        </w:rPr>
      </w:pPr>
      <w:r>
        <w:rPr>
          <w:rFonts w:hint="cs"/>
          <w:rtl/>
        </w:rPr>
        <w:t>بحث در این بود که وجه حجیت مثبتات امارات چیست چون د</w:t>
      </w:r>
      <w:r w:rsidR="00B12CA8">
        <w:rPr>
          <w:rFonts w:hint="cs"/>
          <w:rtl/>
        </w:rPr>
        <w:t>ر اصول عملیه گفته می شود مثبتات اصل عملی</w:t>
      </w:r>
      <w:r>
        <w:rPr>
          <w:rFonts w:hint="cs"/>
          <w:rtl/>
        </w:rPr>
        <w:t xml:space="preserve"> حجت نیست</w:t>
      </w:r>
      <w:r w:rsidR="00B12CA8">
        <w:rPr>
          <w:rFonts w:hint="cs"/>
          <w:rtl/>
        </w:rPr>
        <w:t xml:space="preserve"> اما در امارات گفته شده مثبتاتش حجت است</w:t>
      </w:r>
      <w:r>
        <w:rPr>
          <w:rFonts w:hint="cs"/>
          <w:rtl/>
        </w:rPr>
        <w:t>؟</w:t>
      </w:r>
    </w:p>
    <w:p w:rsidR="00F92292" w:rsidRDefault="00F92292" w:rsidP="0049356D">
      <w:pPr>
        <w:pStyle w:val="Heading2"/>
        <w:jc w:val="both"/>
        <w:rPr>
          <w:rtl/>
        </w:rPr>
      </w:pPr>
      <w:bookmarkStart w:id="4" w:name="_Toc97715281"/>
      <w:r>
        <w:rPr>
          <w:rFonts w:hint="cs"/>
          <w:rtl/>
        </w:rPr>
        <w:t>توجیه محقق خراسانی: کاشفیت اماره نسبت به مؤدا و جمیع ما یرتبط به</w:t>
      </w:r>
      <w:bookmarkEnd w:id="4"/>
    </w:p>
    <w:p w:rsidR="00F92292" w:rsidRDefault="00F92292" w:rsidP="0049356D">
      <w:pPr>
        <w:jc w:val="both"/>
        <w:rPr>
          <w:rtl/>
        </w:rPr>
      </w:pPr>
      <w:r>
        <w:rPr>
          <w:rFonts w:hint="cs"/>
          <w:rtl/>
        </w:rPr>
        <w:t>محقق خراسانی</w:t>
      </w:r>
      <w:r w:rsidR="000D5058">
        <w:rPr>
          <w:rStyle w:val="FootnoteReference"/>
          <w:rtl/>
        </w:rPr>
        <w:footnoteReference w:id="1"/>
      </w:r>
      <w:r>
        <w:rPr>
          <w:rFonts w:hint="cs"/>
          <w:rtl/>
        </w:rPr>
        <w:t xml:space="preserve"> در پاسخ به این سؤال فرمودند مناط حجیت اماره</w:t>
      </w:r>
      <w:r w:rsidR="00747697">
        <w:rPr>
          <w:rFonts w:hint="cs"/>
          <w:rtl/>
        </w:rPr>
        <w:t>،</w:t>
      </w:r>
      <w:r>
        <w:rPr>
          <w:rFonts w:hint="cs"/>
          <w:rtl/>
        </w:rPr>
        <w:t xml:space="preserve"> حکایتگری اماره است و چون حکایتگری اماره، هم نسبت به مؤدا و هم نسبت به لوازم و ملزومات و ملازمات مؤدا وجود دارد اطلاق دلیل حجیت اماره اقتضا می کند اماره در جمیع ما تکشف عنه حجت شود.</w:t>
      </w:r>
    </w:p>
    <w:p w:rsidR="00F92292" w:rsidRDefault="00F92292" w:rsidP="0049356D">
      <w:pPr>
        <w:pStyle w:val="Heading3"/>
        <w:jc w:val="both"/>
        <w:rPr>
          <w:rtl/>
        </w:rPr>
      </w:pPr>
      <w:bookmarkStart w:id="5" w:name="_Toc97715282"/>
      <w:r>
        <w:rPr>
          <w:rFonts w:hint="cs"/>
          <w:rtl/>
        </w:rPr>
        <w:lastRenderedPageBreak/>
        <w:t>اشکال محقق نائینی به توجیه محقق خراسانی: توقف حکایت بر التفات و قصد</w:t>
      </w:r>
      <w:bookmarkEnd w:id="5"/>
    </w:p>
    <w:p w:rsidR="00F92292" w:rsidRDefault="00F92292" w:rsidP="0049356D">
      <w:pPr>
        <w:jc w:val="both"/>
        <w:rPr>
          <w:rtl/>
        </w:rPr>
      </w:pPr>
      <w:r>
        <w:rPr>
          <w:rFonts w:hint="cs"/>
          <w:rtl/>
        </w:rPr>
        <w:t>محقق نائینی</w:t>
      </w:r>
      <w:r w:rsidR="000D5058">
        <w:rPr>
          <w:rStyle w:val="FootnoteReference"/>
          <w:rtl/>
        </w:rPr>
        <w:footnoteReference w:id="2"/>
      </w:r>
      <w:r w:rsidR="000D5058">
        <w:rPr>
          <w:rFonts w:hint="cs"/>
          <w:rtl/>
        </w:rPr>
        <w:t xml:space="preserve"> (به نقل مرحوم آقای روحانی) </w:t>
      </w:r>
      <w:r>
        <w:rPr>
          <w:rFonts w:hint="cs"/>
          <w:rtl/>
        </w:rPr>
        <w:t xml:space="preserve">در اشکال به محقق خراسانی فرمودند حکایتگری مخبر از لوازم مؤدا فرع التفات و قصد مخبر است لذا نمی توان گفت مطلق لوازم و ملزومات و ملازمات هر چند ملازمه </w:t>
      </w:r>
      <w:r w:rsidR="00B12CA8">
        <w:rPr>
          <w:rFonts w:hint="cs"/>
          <w:rtl/>
        </w:rPr>
        <w:t>اش</w:t>
      </w:r>
      <w:r>
        <w:rPr>
          <w:rFonts w:hint="cs"/>
          <w:rtl/>
        </w:rPr>
        <w:t xml:space="preserve"> ب</w:t>
      </w:r>
      <w:r w:rsidR="00B12CA8">
        <w:rPr>
          <w:rFonts w:hint="cs"/>
          <w:rtl/>
        </w:rPr>
        <w:t>َیِّ</w:t>
      </w:r>
      <w:r>
        <w:rPr>
          <w:rFonts w:hint="cs"/>
          <w:rtl/>
        </w:rPr>
        <w:t>ن بالمعنی الاخص نباشد</w:t>
      </w:r>
      <w:r w:rsidR="00B12CA8">
        <w:rPr>
          <w:rFonts w:hint="cs"/>
          <w:rtl/>
        </w:rPr>
        <w:t>،</w:t>
      </w:r>
      <w:r>
        <w:rPr>
          <w:rFonts w:hint="cs"/>
          <w:rtl/>
        </w:rPr>
        <w:t xml:space="preserve"> محکیِّ مخبر تلقی شود.</w:t>
      </w:r>
    </w:p>
    <w:p w:rsidR="00F92292" w:rsidRDefault="00F92292" w:rsidP="0049356D">
      <w:pPr>
        <w:pStyle w:val="Heading4"/>
        <w:jc w:val="both"/>
        <w:rPr>
          <w:rtl/>
        </w:rPr>
      </w:pPr>
      <w:bookmarkStart w:id="6" w:name="_Toc97715283"/>
      <w:r>
        <w:rPr>
          <w:rFonts w:hint="cs"/>
          <w:rtl/>
        </w:rPr>
        <w:t>پاسخ استاد از اشکال محقق نائینی</w:t>
      </w:r>
      <w:bookmarkEnd w:id="6"/>
    </w:p>
    <w:p w:rsidR="00F92292" w:rsidRDefault="00747697" w:rsidP="0049356D">
      <w:pPr>
        <w:jc w:val="both"/>
        <w:rPr>
          <w:rtl/>
        </w:rPr>
      </w:pPr>
      <w:r>
        <w:rPr>
          <w:rFonts w:hint="cs"/>
          <w:rtl/>
        </w:rPr>
        <w:t>فرمایش محقق نائینی نا</w:t>
      </w:r>
      <w:r w:rsidR="00F92292">
        <w:rPr>
          <w:rFonts w:hint="cs"/>
          <w:rtl/>
        </w:rPr>
        <w:t>تمام است چون اولا ب</w:t>
      </w:r>
      <w:r w:rsidR="00B12CA8">
        <w:rPr>
          <w:rFonts w:hint="cs"/>
          <w:rtl/>
        </w:rPr>
        <w:t>َ</w:t>
      </w:r>
      <w:r w:rsidR="00F92292">
        <w:rPr>
          <w:rFonts w:hint="cs"/>
          <w:rtl/>
        </w:rPr>
        <w:t>ی</w:t>
      </w:r>
      <w:r w:rsidR="00B12CA8">
        <w:rPr>
          <w:rFonts w:hint="cs"/>
          <w:rtl/>
        </w:rPr>
        <w:t>ِّ</w:t>
      </w:r>
      <w:r w:rsidR="00F92292">
        <w:rPr>
          <w:rFonts w:hint="cs"/>
          <w:rtl/>
        </w:rPr>
        <w:t>ن بالمعنی الاخص بودن یا نبودن</w:t>
      </w:r>
      <w:r w:rsidR="00B12CA8">
        <w:rPr>
          <w:rFonts w:hint="cs"/>
          <w:rtl/>
        </w:rPr>
        <w:t xml:space="preserve"> فی نفسه</w:t>
      </w:r>
      <w:r w:rsidR="00F92292">
        <w:rPr>
          <w:rFonts w:hint="cs"/>
          <w:rtl/>
        </w:rPr>
        <w:t xml:space="preserve"> موضوعیت ندارد آنچه مهم است این که اولا خود مخبر و ثانیا مقصود بالافهام وی نسبت به این ملازمه التفات داشته باشد تا مخبر بتواند قصد تفهیم لوازم را به وی داشته باشد.</w:t>
      </w:r>
    </w:p>
    <w:p w:rsidR="00F92292" w:rsidRDefault="00F92292" w:rsidP="0049356D">
      <w:pPr>
        <w:jc w:val="both"/>
        <w:rPr>
          <w:rtl/>
        </w:rPr>
      </w:pPr>
      <w:r>
        <w:rPr>
          <w:rFonts w:hint="cs"/>
          <w:rtl/>
        </w:rPr>
        <w:t xml:space="preserve">ثانیا تمام این بحث ها زمانی مطرح می شود که حکایتگری را به مخبر نسبت دهیم اما حکایتگری تنها برای مخبر نبوده و خود خبر هم حکایتگری دارد و در مورد حکایتگری خبر دیگر </w:t>
      </w:r>
      <w:r w:rsidR="00F4616A">
        <w:rPr>
          <w:rFonts w:hint="cs"/>
          <w:rtl/>
        </w:rPr>
        <w:t>قصد و التفات مطرح نیست؛ مخبر قصد حکایت از مؤدا را می کند و این قصد موجب می شود خود خبر جنبۀ حکایتگری پیدا کند و مقصود از حکایتگری خبر کاشفیت آن است و پر واضح است که کاشفیت خبر علاوه بر مؤدا نسبت به جمیع لوازم و ملزومات و ملازماتش محقق است.</w:t>
      </w:r>
    </w:p>
    <w:p w:rsidR="004354EB" w:rsidRDefault="004354EB" w:rsidP="0049356D">
      <w:pPr>
        <w:jc w:val="both"/>
        <w:rPr>
          <w:rtl/>
        </w:rPr>
      </w:pPr>
      <w:r>
        <w:rPr>
          <w:rFonts w:hint="cs"/>
          <w:rtl/>
        </w:rPr>
        <w:t>پس محقق نائینی بین حکایتگری خود خبر با حگایتگری مخبر خلط نموده است.</w:t>
      </w:r>
    </w:p>
    <w:p w:rsidR="00F4616A" w:rsidRDefault="004354EB" w:rsidP="004354EB">
      <w:pPr>
        <w:jc w:val="both"/>
        <w:rPr>
          <w:rtl/>
        </w:rPr>
      </w:pPr>
      <w:r>
        <w:rPr>
          <w:rFonts w:hint="cs"/>
          <w:rtl/>
        </w:rPr>
        <w:t>بله</w:t>
      </w:r>
      <w:r w:rsidR="00F4616A">
        <w:rPr>
          <w:rFonts w:hint="cs"/>
          <w:rtl/>
        </w:rPr>
        <w:t xml:space="preserve"> همانطور که اشاره شد کاشفیت خود خبر</w:t>
      </w:r>
      <w:r w:rsidR="00B12CA8">
        <w:rPr>
          <w:rFonts w:hint="cs"/>
          <w:rtl/>
        </w:rPr>
        <w:t xml:space="preserve"> ابتداءا</w:t>
      </w:r>
      <w:r w:rsidR="00F4616A">
        <w:rPr>
          <w:rFonts w:hint="cs"/>
          <w:rtl/>
        </w:rPr>
        <w:t xml:space="preserve"> وابسته به قصد مخبر نسبت به مؤدا است چون اگر مخبر قصد مؤدا را نداشته باشد و مثلا در مقام ه</w:t>
      </w:r>
      <w:r w:rsidR="00B12CA8">
        <w:rPr>
          <w:rFonts w:hint="cs"/>
          <w:rtl/>
        </w:rPr>
        <w:t>زل باشد دیگر خبر</w:t>
      </w:r>
      <w:r w:rsidR="00F4616A">
        <w:rPr>
          <w:rFonts w:hint="cs"/>
          <w:rtl/>
        </w:rPr>
        <w:t xml:space="preserve"> حتی نسبت به مؤدایش هم کاشفیت ندارد</w:t>
      </w:r>
      <w:r w:rsidR="00B12CA8">
        <w:rPr>
          <w:rFonts w:hint="cs"/>
          <w:rtl/>
        </w:rPr>
        <w:t xml:space="preserve"> تا چه رسد به لوازمش</w:t>
      </w:r>
      <w:r w:rsidR="00F4616A">
        <w:rPr>
          <w:rFonts w:hint="cs"/>
          <w:rtl/>
        </w:rPr>
        <w:t xml:space="preserve"> ولی وقتی متکلم قصد جدی نسبت به مؤدا داشت حتی اگر خود مخبر قصد و التفات به لوازم را نداشته باشد نفس خبر کاشفیت از تمام این امور را پیدا می کند و به تعبیر محقق خراسانی همین کاشفیت منشأ حجیت خود خبر در تمام این امور می شود.</w:t>
      </w:r>
    </w:p>
    <w:p w:rsidR="00F4616A" w:rsidRDefault="00B12CA8" w:rsidP="0049356D">
      <w:pPr>
        <w:jc w:val="both"/>
        <w:rPr>
          <w:rtl/>
        </w:rPr>
      </w:pPr>
      <w:r>
        <w:rPr>
          <w:rFonts w:hint="cs"/>
          <w:rtl/>
        </w:rPr>
        <w:t>بلکه اصلاً</w:t>
      </w:r>
      <w:r w:rsidR="00F4616A">
        <w:rPr>
          <w:rFonts w:hint="cs"/>
          <w:rtl/>
        </w:rPr>
        <w:t xml:space="preserve"> بحث حجیت امارات تنها مربوط به خبر نیست تا ت</w:t>
      </w:r>
      <w:r>
        <w:rPr>
          <w:rFonts w:hint="cs"/>
          <w:rtl/>
        </w:rPr>
        <w:t>وهم انتساب حکایتگری به مخبر در آ</w:t>
      </w:r>
      <w:r w:rsidR="00F4616A">
        <w:rPr>
          <w:rFonts w:hint="cs"/>
          <w:rtl/>
        </w:rPr>
        <w:t>ن وجود داشته باشد و بحث قصد و التفات مخبر مطرح شود چون در</w:t>
      </w:r>
      <w:r>
        <w:rPr>
          <w:rFonts w:hint="cs"/>
          <w:rtl/>
        </w:rPr>
        <w:t xml:space="preserve"> </w:t>
      </w:r>
      <w:r w:rsidR="00F4616A">
        <w:rPr>
          <w:rFonts w:hint="cs"/>
          <w:rtl/>
        </w:rPr>
        <w:t>ورای برخی امارات اصلا مخبر و شخص خاصی نیست تا بتوان گفت حکایتگری اش فرع التفا</w:t>
      </w:r>
      <w:r>
        <w:rPr>
          <w:rFonts w:hint="cs"/>
          <w:rtl/>
        </w:rPr>
        <w:t>ت</w:t>
      </w:r>
      <w:r w:rsidR="00F4616A">
        <w:rPr>
          <w:rFonts w:hint="cs"/>
          <w:rtl/>
        </w:rPr>
        <w:t xml:space="preserve"> و قصد است؛ به عنوان مثال نفس ظهور یا شهرت یا </w:t>
      </w:r>
      <w:r>
        <w:rPr>
          <w:rFonts w:hint="cs"/>
          <w:rtl/>
        </w:rPr>
        <w:t>امثال آن</w:t>
      </w:r>
      <w:r w:rsidR="00F4616A">
        <w:rPr>
          <w:rFonts w:hint="cs"/>
          <w:rtl/>
        </w:rPr>
        <w:t>، از اموری هستند که اصلا بحث قصد و التفات در اماریتشان مطرح نیست.</w:t>
      </w:r>
    </w:p>
    <w:p w:rsidR="00F4616A" w:rsidRPr="00F92292" w:rsidRDefault="00F4616A" w:rsidP="0049356D">
      <w:pPr>
        <w:jc w:val="both"/>
        <w:rPr>
          <w:rtl/>
        </w:rPr>
      </w:pPr>
      <w:r>
        <w:rPr>
          <w:rFonts w:hint="cs"/>
          <w:rtl/>
        </w:rPr>
        <w:lastRenderedPageBreak/>
        <w:t xml:space="preserve">خلاصه این که محقق نائینی همچون </w:t>
      </w:r>
      <w:r w:rsidR="001717A4">
        <w:rPr>
          <w:rFonts w:hint="cs"/>
          <w:rtl/>
        </w:rPr>
        <w:t>برخی دیگر از آ</w:t>
      </w:r>
      <w:r>
        <w:rPr>
          <w:rFonts w:hint="cs"/>
          <w:rtl/>
        </w:rPr>
        <w:t xml:space="preserve">قایان به کلام محقق خراسانی توجه کافی نکردند و الا چنین اشکالاتی به کلام ایشان </w:t>
      </w:r>
      <w:r w:rsidR="00B12CA8">
        <w:rPr>
          <w:rFonts w:hint="cs"/>
          <w:rtl/>
        </w:rPr>
        <w:t>مطرح نمی کردند</w:t>
      </w:r>
      <w:r>
        <w:rPr>
          <w:rFonts w:hint="cs"/>
          <w:rtl/>
        </w:rPr>
        <w:t>.</w:t>
      </w:r>
    </w:p>
    <w:p w:rsidR="0086464D" w:rsidRDefault="0086464D" w:rsidP="0049356D">
      <w:pPr>
        <w:jc w:val="both"/>
        <w:rPr>
          <w:rtl/>
        </w:rPr>
      </w:pPr>
      <w:r>
        <w:rPr>
          <w:rFonts w:hint="cs"/>
          <w:rtl/>
        </w:rPr>
        <w:t xml:space="preserve">عبارت محقق خراسانی در کفایه را خواندیم و گفتیم مقصود ایشان از حکایت همان کاشفیتی است که در نفس اماره وجود دارد اما </w:t>
      </w:r>
      <w:r w:rsidR="00D11CEE">
        <w:rPr>
          <w:rFonts w:hint="cs"/>
          <w:rtl/>
        </w:rPr>
        <w:t xml:space="preserve">عبارت </w:t>
      </w:r>
      <w:r>
        <w:rPr>
          <w:rFonts w:hint="cs"/>
          <w:rtl/>
        </w:rPr>
        <w:t>های حاشیۀ</w:t>
      </w:r>
      <w:r w:rsidR="00D11CEE">
        <w:rPr>
          <w:rFonts w:hint="cs"/>
          <w:rtl/>
        </w:rPr>
        <w:t xml:space="preserve"> رسائل </w:t>
      </w:r>
      <w:r>
        <w:rPr>
          <w:rFonts w:hint="cs"/>
          <w:rtl/>
        </w:rPr>
        <w:t>در افادۀ این معنا روشن تر است و چنانچه به این عبارات توجه شود معلوم می</w:t>
      </w:r>
      <w:r w:rsidR="00B12CA8">
        <w:rPr>
          <w:rFonts w:hint="cs"/>
          <w:rtl/>
        </w:rPr>
        <w:t xml:space="preserve"> </w:t>
      </w:r>
      <w:r>
        <w:rPr>
          <w:rFonts w:hint="cs"/>
          <w:rtl/>
        </w:rPr>
        <w:t>شود این اشکالات به هیچ وجه به ایشان وارد نمی باشد.</w:t>
      </w:r>
    </w:p>
    <w:p w:rsidR="00B12CA8" w:rsidRDefault="00B12CA8" w:rsidP="0049356D">
      <w:pPr>
        <w:jc w:val="both"/>
        <w:rPr>
          <w:rtl/>
        </w:rPr>
      </w:pPr>
      <w:r>
        <w:rPr>
          <w:rFonts w:hint="cs"/>
          <w:rtl/>
        </w:rPr>
        <w:t>به چند عبارت ایشان اشاره می کنیم:</w:t>
      </w:r>
    </w:p>
    <w:p w:rsidR="001717A4" w:rsidRPr="001717A4" w:rsidRDefault="001717A4" w:rsidP="0049356D">
      <w:pPr>
        <w:jc w:val="both"/>
        <w:rPr>
          <w:color w:val="000080"/>
          <w:rtl/>
        </w:rPr>
      </w:pPr>
      <w:r w:rsidRPr="001717A4">
        <w:rPr>
          <w:color w:val="000080"/>
          <w:rtl/>
        </w:rPr>
        <w:t>فرق بين التّنزيل في مورد الأمارات و مورد الأصول التّعبديّة، و هو أنّ الأمارة تكون حاكية من الواسطة، كما تكون حاكية عن ذيها</w:t>
      </w:r>
      <w:r>
        <w:rPr>
          <w:rFonts w:hint="cs"/>
          <w:color w:val="000080"/>
          <w:rtl/>
        </w:rPr>
        <w:t xml:space="preserve">... </w:t>
      </w:r>
      <w:r>
        <w:rPr>
          <w:rStyle w:val="FootnoteReference"/>
          <w:color w:val="000080"/>
        </w:rPr>
        <w:footnoteReference w:id="3"/>
      </w:r>
    </w:p>
    <w:p w:rsidR="001717A4" w:rsidRDefault="004354EB" w:rsidP="0049356D">
      <w:pPr>
        <w:jc w:val="both"/>
        <w:rPr>
          <w:rtl/>
        </w:rPr>
      </w:pPr>
      <w:r>
        <w:rPr>
          <w:rFonts w:hint="cs"/>
          <w:rtl/>
        </w:rPr>
        <w:t xml:space="preserve">در اینجا می گوید خود اماره حاکی است نه شخص مخبر و </w:t>
      </w:r>
      <w:r w:rsidR="001717A4">
        <w:rPr>
          <w:rFonts w:hint="cs"/>
          <w:rtl/>
        </w:rPr>
        <w:t>ایشان در جایی دیگر در ضمن بحث های مفصلی که در این زمینه دارند این طور تعبیر می کنند:</w:t>
      </w:r>
    </w:p>
    <w:p w:rsidR="001717A4" w:rsidRPr="001717A4" w:rsidRDefault="001717A4" w:rsidP="0049356D">
      <w:pPr>
        <w:jc w:val="both"/>
        <w:rPr>
          <w:color w:val="000080"/>
          <w:rtl/>
        </w:rPr>
      </w:pPr>
      <w:r w:rsidRPr="001717A4">
        <w:rPr>
          <w:color w:val="000080"/>
          <w:rtl/>
        </w:rPr>
        <w:t>و أمّا ترتيب الأثر مطلقا و لو كان بالواسطة في الطّرق و الأمارات فإنّما هو لأجل أنّ مفاد دليل اعتبارها لزوم الأخذ بتمام ما هي حاكية و كاشفة عنه من المؤدّى بأطرافه من ملزومه و ملازمه و لازمه‏</w:t>
      </w:r>
      <w:r w:rsidR="004354EB">
        <w:rPr>
          <w:rFonts w:hint="cs"/>
          <w:color w:val="000080"/>
          <w:rtl/>
        </w:rPr>
        <w:t xml:space="preserve"> و ترتیب الاثر الشرعی علی کل واحد منه ...</w:t>
      </w:r>
    </w:p>
    <w:p w:rsidR="0086464D" w:rsidRDefault="002B23D5" w:rsidP="0049356D">
      <w:pPr>
        <w:jc w:val="both"/>
        <w:rPr>
          <w:rtl/>
        </w:rPr>
      </w:pPr>
      <w:r>
        <w:rPr>
          <w:rFonts w:hint="cs"/>
          <w:rtl/>
        </w:rPr>
        <w:t>در کفایه حکایت</w:t>
      </w:r>
      <w:r w:rsidR="00B12CA8">
        <w:rPr>
          <w:rFonts w:hint="cs"/>
          <w:rtl/>
        </w:rPr>
        <w:t>گری</w:t>
      </w:r>
      <w:r>
        <w:rPr>
          <w:rFonts w:hint="cs"/>
          <w:rtl/>
        </w:rPr>
        <w:t xml:space="preserve"> و مشی</w:t>
      </w:r>
      <w:r w:rsidR="0086464D">
        <w:rPr>
          <w:rFonts w:hint="cs"/>
          <w:rtl/>
        </w:rPr>
        <w:t>ر بودن را مطرح کرده که ممکن است کسی توهم کند مقصودشان حکایتگری و اشاره</w:t>
      </w:r>
      <w:r w:rsidR="0086464D">
        <w:rPr>
          <w:rtl/>
        </w:rPr>
        <w:softHyphen/>
      </w:r>
      <w:r w:rsidR="0086464D">
        <w:rPr>
          <w:rFonts w:hint="cs"/>
          <w:rtl/>
        </w:rPr>
        <w:t>گری خود مخبر است اما در عبارت حاشیه بحث کاشفیت را مطرح کردند که انتسابش به نفس اماره روشن تر بوده و جایی برای این اشکالات باقی نمی گذارد.</w:t>
      </w:r>
    </w:p>
    <w:p w:rsidR="002A0FDB" w:rsidRDefault="002A0FDB" w:rsidP="0049356D">
      <w:pPr>
        <w:pStyle w:val="Heading2"/>
        <w:jc w:val="both"/>
        <w:rPr>
          <w:rtl/>
        </w:rPr>
      </w:pPr>
      <w:bookmarkStart w:id="7" w:name="_Toc97715284"/>
      <w:r>
        <w:rPr>
          <w:rFonts w:hint="cs"/>
          <w:rtl/>
        </w:rPr>
        <w:t>اشاره به مبنای مرحوم آقای صدر در مناط حجیت امارات و اصول عملیه</w:t>
      </w:r>
      <w:bookmarkEnd w:id="7"/>
    </w:p>
    <w:p w:rsidR="00414373" w:rsidRDefault="002B23D5" w:rsidP="0049356D">
      <w:pPr>
        <w:jc w:val="both"/>
        <w:rPr>
          <w:rtl/>
        </w:rPr>
      </w:pPr>
      <w:r>
        <w:rPr>
          <w:rFonts w:hint="cs"/>
          <w:rtl/>
        </w:rPr>
        <w:t xml:space="preserve">اینجا </w:t>
      </w:r>
      <w:r w:rsidR="001D3FD6">
        <w:rPr>
          <w:rFonts w:hint="cs"/>
          <w:rtl/>
        </w:rPr>
        <w:t>مرحوم آ</w:t>
      </w:r>
      <w:r>
        <w:rPr>
          <w:rFonts w:hint="cs"/>
          <w:rtl/>
        </w:rPr>
        <w:t>قای صدر</w:t>
      </w:r>
      <w:r w:rsidR="001E6207">
        <w:rPr>
          <w:rStyle w:val="FootnoteReference"/>
          <w:rtl/>
        </w:rPr>
        <w:footnoteReference w:id="4"/>
      </w:r>
      <w:r w:rsidR="001717A4">
        <w:rPr>
          <w:rFonts w:hint="cs"/>
          <w:rtl/>
        </w:rPr>
        <w:t xml:space="preserve"> </w:t>
      </w:r>
      <w:r>
        <w:rPr>
          <w:rFonts w:hint="cs"/>
          <w:rtl/>
        </w:rPr>
        <w:t>مبنایی دارند</w:t>
      </w:r>
      <w:r w:rsidR="00414373">
        <w:rPr>
          <w:rFonts w:hint="cs"/>
          <w:rtl/>
        </w:rPr>
        <w:t xml:space="preserve"> که مناط حجیت امارات و اصول عملیه را تببین می کند.</w:t>
      </w:r>
    </w:p>
    <w:p w:rsidR="00414373" w:rsidRDefault="00414373" w:rsidP="0049356D">
      <w:pPr>
        <w:jc w:val="both"/>
        <w:rPr>
          <w:rtl/>
        </w:rPr>
      </w:pPr>
      <w:r>
        <w:rPr>
          <w:rFonts w:hint="cs"/>
          <w:rtl/>
        </w:rPr>
        <w:t xml:space="preserve">ایشان می فرماید حجیت یک شیء به چند </w:t>
      </w:r>
      <w:r w:rsidR="00B12CA8">
        <w:rPr>
          <w:rFonts w:hint="cs"/>
          <w:rtl/>
        </w:rPr>
        <w:t>شکل</w:t>
      </w:r>
      <w:r>
        <w:rPr>
          <w:rFonts w:hint="cs"/>
          <w:rtl/>
        </w:rPr>
        <w:t xml:space="preserve"> است:</w:t>
      </w:r>
    </w:p>
    <w:p w:rsidR="00414373" w:rsidRDefault="00414373" w:rsidP="0049356D">
      <w:pPr>
        <w:pStyle w:val="ListParagraph"/>
        <w:numPr>
          <w:ilvl w:val="0"/>
          <w:numId w:val="16"/>
        </w:numPr>
        <w:jc w:val="both"/>
      </w:pPr>
      <w:r>
        <w:rPr>
          <w:rFonts w:hint="cs"/>
          <w:rtl/>
        </w:rPr>
        <w:t>گاهی شارع مقدس صرفا به دلیل قوت احتمال موجود در یک شیء، آن را حجت می کند که به آن اماره گفته می شود.</w:t>
      </w:r>
    </w:p>
    <w:p w:rsidR="00414373" w:rsidRDefault="00414373" w:rsidP="0049356D">
      <w:pPr>
        <w:pStyle w:val="ListParagraph"/>
        <w:numPr>
          <w:ilvl w:val="0"/>
          <w:numId w:val="16"/>
        </w:numPr>
        <w:jc w:val="both"/>
      </w:pPr>
      <w:r>
        <w:rPr>
          <w:rFonts w:hint="cs"/>
          <w:rtl/>
        </w:rPr>
        <w:lastRenderedPageBreak/>
        <w:t>گاهی شارع مقدس صرفا به دلیل قوت محتمل یک شیء را حجت می کند که به آن اصل عملی محض گفته می شود مانند بر</w:t>
      </w:r>
      <w:r w:rsidR="00B12CA8">
        <w:rPr>
          <w:rFonts w:hint="cs"/>
          <w:rtl/>
        </w:rPr>
        <w:t>ا</w:t>
      </w:r>
      <w:r>
        <w:rPr>
          <w:rFonts w:hint="cs"/>
          <w:rtl/>
        </w:rPr>
        <w:t>ئت و احتیاط که مثلا شارع مقدس در شک بدوی می گوید به دلیل تحفظ بر مصلحت ترخیص از مصلحت الزام رفع ید می کنم پس به دلیل قوت</w:t>
      </w:r>
      <w:r w:rsidR="009E4D12">
        <w:rPr>
          <w:rFonts w:hint="cs"/>
          <w:rtl/>
        </w:rPr>
        <w:t xml:space="preserve"> ترخیص م</w:t>
      </w:r>
      <w:r>
        <w:rPr>
          <w:rFonts w:hint="cs"/>
          <w:rtl/>
        </w:rPr>
        <w:t>حتمل</w:t>
      </w:r>
      <w:r w:rsidR="008435EE">
        <w:rPr>
          <w:rFonts w:hint="cs"/>
          <w:rtl/>
        </w:rPr>
        <w:t>، از الزام محتمل</w:t>
      </w:r>
      <w:r>
        <w:rPr>
          <w:rFonts w:hint="cs"/>
          <w:rtl/>
        </w:rPr>
        <w:t xml:space="preserve"> رفع ید نموده است.</w:t>
      </w:r>
    </w:p>
    <w:p w:rsidR="009E4D12" w:rsidRDefault="009E4D12" w:rsidP="0049356D">
      <w:pPr>
        <w:pStyle w:val="ListParagraph"/>
        <w:numPr>
          <w:ilvl w:val="0"/>
          <w:numId w:val="16"/>
        </w:numPr>
        <w:jc w:val="both"/>
      </w:pPr>
      <w:r>
        <w:rPr>
          <w:rFonts w:hint="cs"/>
          <w:rtl/>
        </w:rPr>
        <w:t xml:space="preserve">گاهی شارع مقدس هر دو را </w:t>
      </w:r>
      <w:r w:rsidR="00530B03">
        <w:rPr>
          <w:rFonts w:hint="cs"/>
          <w:rtl/>
        </w:rPr>
        <w:t xml:space="preserve">در نظر می گیرد </w:t>
      </w:r>
      <w:r>
        <w:rPr>
          <w:rFonts w:hint="cs"/>
          <w:rtl/>
        </w:rPr>
        <w:t>یعنی هم قوت احتمال و هم</w:t>
      </w:r>
      <w:r w:rsidR="00530B03">
        <w:rPr>
          <w:rFonts w:hint="cs"/>
          <w:rtl/>
        </w:rPr>
        <w:t xml:space="preserve"> قوت محتمل را ملاحظه می کند</w:t>
      </w:r>
      <w:r w:rsidR="001F0FCD">
        <w:rPr>
          <w:rFonts w:hint="cs"/>
          <w:rtl/>
        </w:rPr>
        <w:t xml:space="preserve"> که این هم اصل عملی محسوب می شود</w:t>
      </w:r>
      <w:r w:rsidR="00530B03">
        <w:rPr>
          <w:rFonts w:hint="cs"/>
          <w:rtl/>
        </w:rPr>
        <w:t>.</w:t>
      </w:r>
    </w:p>
    <w:p w:rsidR="00AF6341" w:rsidRDefault="00414373" w:rsidP="001F0FCD">
      <w:pPr>
        <w:pStyle w:val="ListParagraph"/>
        <w:numPr>
          <w:ilvl w:val="0"/>
          <w:numId w:val="16"/>
        </w:numPr>
        <w:jc w:val="both"/>
      </w:pPr>
      <w:r>
        <w:rPr>
          <w:rFonts w:hint="cs"/>
          <w:rtl/>
        </w:rPr>
        <w:t xml:space="preserve">گاهی شارع مقدس به دلیل وجود یک سری نکاتی که در ذات شیء است آن </w:t>
      </w:r>
      <w:r w:rsidR="00AF6341">
        <w:rPr>
          <w:rFonts w:hint="cs"/>
          <w:rtl/>
        </w:rPr>
        <w:t>را</w:t>
      </w:r>
      <w:r>
        <w:rPr>
          <w:rFonts w:hint="cs"/>
          <w:rtl/>
        </w:rPr>
        <w:t xml:space="preserve"> حجت می کند </w:t>
      </w:r>
      <w:r w:rsidR="001F0FCD">
        <w:rPr>
          <w:rFonts w:hint="cs"/>
          <w:rtl/>
        </w:rPr>
        <w:t xml:space="preserve">که آن هم اصل عملی است </w:t>
      </w:r>
      <w:r>
        <w:rPr>
          <w:rFonts w:hint="cs"/>
          <w:rtl/>
        </w:rPr>
        <w:t xml:space="preserve">مانند استصحاب که نه قوت احتمال دارد و نه محتملش </w:t>
      </w:r>
      <w:r w:rsidR="001F0FCD">
        <w:rPr>
          <w:rFonts w:hint="cs"/>
          <w:rtl/>
        </w:rPr>
        <w:t xml:space="preserve">همیشه الزام یا همیشه ترخیص است پس در استصحاب محتمل هم </w:t>
      </w:r>
      <w:r>
        <w:rPr>
          <w:rFonts w:hint="cs"/>
          <w:rtl/>
        </w:rPr>
        <w:t xml:space="preserve">از سنخ خاصی </w:t>
      </w:r>
      <w:r w:rsidR="001F0FCD">
        <w:rPr>
          <w:rFonts w:hint="cs"/>
          <w:rtl/>
        </w:rPr>
        <w:t>نیست</w:t>
      </w:r>
      <w:r>
        <w:rPr>
          <w:rFonts w:hint="cs"/>
          <w:rtl/>
        </w:rPr>
        <w:t xml:space="preserve"> که بتوان گفت </w:t>
      </w:r>
      <w:r w:rsidR="001F0FCD">
        <w:rPr>
          <w:rFonts w:hint="cs"/>
          <w:rtl/>
        </w:rPr>
        <w:t xml:space="preserve">حجیتش </w:t>
      </w:r>
      <w:r>
        <w:rPr>
          <w:rFonts w:hint="cs"/>
          <w:rtl/>
        </w:rPr>
        <w:t xml:space="preserve">از </w:t>
      </w:r>
      <w:r w:rsidR="008435EE">
        <w:rPr>
          <w:rFonts w:hint="cs"/>
          <w:rtl/>
        </w:rPr>
        <w:t>ب</w:t>
      </w:r>
      <w:r>
        <w:rPr>
          <w:rFonts w:hint="cs"/>
          <w:rtl/>
        </w:rPr>
        <w:t>اب قوت محتمل است بلکه مثلا بر اساس مطالبی که سابقا در مناط استصحاب بیان کردیم ممکن است به لحاظ عقلائی نفس انضباط قانونی و نظم اجتماعی</w:t>
      </w:r>
      <w:r w:rsidR="001F0FCD">
        <w:rPr>
          <w:rFonts w:hint="cs"/>
          <w:rtl/>
        </w:rPr>
        <w:t xml:space="preserve"> و عدم تزلزل رفتاری</w:t>
      </w:r>
      <w:r>
        <w:rPr>
          <w:rFonts w:hint="cs"/>
          <w:rtl/>
        </w:rPr>
        <w:t xml:space="preserve"> مقتضی رفتار بر طبق حالت سابقه را ایجاد کند</w:t>
      </w:r>
      <w:r w:rsidR="00AF6341">
        <w:rPr>
          <w:rFonts w:hint="cs"/>
          <w:rtl/>
        </w:rPr>
        <w:t xml:space="preserve"> </w:t>
      </w:r>
      <w:r w:rsidR="008435EE">
        <w:rPr>
          <w:rFonts w:hint="cs"/>
          <w:rtl/>
        </w:rPr>
        <w:t>و همین نکتۀ ذاتی در عمل به حالت سابقه منشأ حجیت استصحاب شود</w:t>
      </w:r>
      <w:r w:rsidR="001F0FCD">
        <w:rPr>
          <w:rFonts w:hint="cs"/>
          <w:rtl/>
        </w:rPr>
        <w:t xml:space="preserve"> ولی در مثبتات دیگر این نکته وجود ندارد چون فرض این است که خود مثبتات حالت سابقه نداشته و الا اگر حالت سابقه داشت خودش را استصحاب می کردیم</w:t>
      </w:r>
      <w:r w:rsidR="008435EE">
        <w:rPr>
          <w:rFonts w:hint="cs"/>
          <w:rtl/>
        </w:rPr>
        <w:t xml:space="preserve">؛ </w:t>
      </w:r>
      <w:r w:rsidR="00AF6341">
        <w:rPr>
          <w:rFonts w:hint="cs"/>
          <w:rtl/>
        </w:rPr>
        <w:t>یا قاعدۀ فراغ که ممکن است بگوئیم شارع مقدس به خاطر مفاسدی که در تکرار عمل بعد از فراغ از آن وجود داشته قاعدۀ فراغ را حجیت بخشیده و ای</w:t>
      </w:r>
      <w:r w:rsidR="00530B03">
        <w:rPr>
          <w:rFonts w:hint="cs"/>
          <w:rtl/>
        </w:rPr>
        <w:t>ن</w:t>
      </w:r>
      <w:r w:rsidR="00AF6341">
        <w:rPr>
          <w:rFonts w:hint="cs"/>
          <w:rtl/>
        </w:rPr>
        <w:t xml:space="preserve"> رب</w:t>
      </w:r>
      <w:r w:rsidR="00530B03">
        <w:rPr>
          <w:rFonts w:hint="cs"/>
          <w:rtl/>
        </w:rPr>
        <w:t>ط</w:t>
      </w:r>
      <w:r w:rsidR="00AF6341">
        <w:rPr>
          <w:rFonts w:hint="cs"/>
          <w:rtl/>
        </w:rPr>
        <w:t xml:space="preserve">ی به </w:t>
      </w:r>
      <w:r w:rsidR="00530B03">
        <w:rPr>
          <w:rFonts w:hint="cs"/>
          <w:rtl/>
        </w:rPr>
        <w:t>ط</w:t>
      </w:r>
      <w:r w:rsidR="00AF6341">
        <w:rPr>
          <w:rFonts w:hint="cs"/>
          <w:rtl/>
        </w:rPr>
        <w:t xml:space="preserve">ریقیت </w:t>
      </w:r>
      <w:r w:rsidR="008435EE">
        <w:rPr>
          <w:rFonts w:hint="cs"/>
          <w:rtl/>
        </w:rPr>
        <w:t xml:space="preserve">آن </w:t>
      </w:r>
      <w:r w:rsidR="00AF6341">
        <w:rPr>
          <w:rFonts w:hint="cs"/>
          <w:rtl/>
        </w:rPr>
        <w:t xml:space="preserve">ندارد لذا لوازم مؤدا اثبات نمی شود مثلا آقایان گفته اند که اگر بعد از نماز ظهر شک در طهارت حاصل شد نماز خوانده شده صحیح است اما نماز های بعدی نیاز به تحصیل طهارت دارد چون نکتۀ صحت نماز سابق فارغ </w:t>
      </w:r>
      <w:r w:rsidR="008435EE">
        <w:rPr>
          <w:rFonts w:hint="cs"/>
          <w:rtl/>
        </w:rPr>
        <w:t xml:space="preserve">شدن </w:t>
      </w:r>
      <w:r w:rsidR="00AF6341">
        <w:rPr>
          <w:rFonts w:hint="cs"/>
          <w:rtl/>
        </w:rPr>
        <w:t>از آن است و این نکته نسبت به نماز های بعد موجود نیست.</w:t>
      </w:r>
    </w:p>
    <w:p w:rsidR="00AF6341" w:rsidRDefault="00AF6341" w:rsidP="0049356D">
      <w:pPr>
        <w:ind w:left="360"/>
        <w:jc w:val="both"/>
        <w:rPr>
          <w:rtl/>
        </w:rPr>
      </w:pPr>
      <w:r>
        <w:rPr>
          <w:rFonts w:hint="cs"/>
          <w:rtl/>
        </w:rPr>
        <w:t xml:space="preserve">البته اگر گفتیم قاعدۀ فراغ به دلیل تعابیری همچون </w:t>
      </w:r>
      <w:r w:rsidR="00E27587" w:rsidRPr="00E27587">
        <w:rPr>
          <w:rFonts w:hint="cs"/>
          <w:color w:val="008000"/>
          <w:rtl/>
        </w:rPr>
        <w:t>«</w:t>
      </w:r>
      <w:r w:rsidRPr="00E27587">
        <w:rPr>
          <w:rFonts w:hint="cs"/>
          <w:color w:val="008000"/>
          <w:rtl/>
        </w:rPr>
        <w:t>هو حین یتوضأ اذکر منه حین یشک</w:t>
      </w:r>
      <w:r w:rsidR="00E27587" w:rsidRPr="00E27587">
        <w:rPr>
          <w:rFonts w:hint="cs"/>
          <w:color w:val="008000"/>
          <w:rtl/>
        </w:rPr>
        <w:t>»</w:t>
      </w:r>
      <w:r w:rsidR="00E27587">
        <w:rPr>
          <w:rStyle w:val="FootnoteReference"/>
          <w:color w:val="008000"/>
          <w:rtl/>
        </w:rPr>
        <w:footnoteReference w:id="5"/>
      </w:r>
      <w:r>
        <w:rPr>
          <w:rFonts w:hint="cs"/>
          <w:rtl/>
        </w:rPr>
        <w:t xml:space="preserve"> جنبۀ اماریت دارد طبیعتا بحثش متفاوت می شود.</w:t>
      </w:r>
    </w:p>
    <w:p w:rsidR="009E4D12" w:rsidRDefault="009E4D12" w:rsidP="0049356D">
      <w:pPr>
        <w:ind w:left="360"/>
        <w:jc w:val="both"/>
        <w:rPr>
          <w:rtl/>
        </w:rPr>
      </w:pPr>
      <w:r>
        <w:rPr>
          <w:rFonts w:hint="cs"/>
          <w:rtl/>
        </w:rPr>
        <w:t>در استصحاب نیز</w:t>
      </w:r>
      <w:r w:rsidR="008435EE">
        <w:rPr>
          <w:rFonts w:hint="cs"/>
          <w:rtl/>
        </w:rPr>
        <w:t xml:space="preserve"> هر چند عقلاء به خودی خود در همۀ</w:t>
      </w:r>
      <w:r>
        <w:rPr>
          <w:rFonts w:hint="cs"/>
          <w:rtl/>
        </w:rPr>
        <w:t xml:space="preserve"> موارد استص</w:t>
      </w:r>
      <w:r w:rsidR="008435EE">
        <w:rPr>
          <w:rFonts w:hint="cs"/>
          <w:rtl/>
        </w:rPr>
        <w:t xml:space="preserve">حاب را معتبر نمی دانند ولی بلحاظ </w:t>
      </w:r>
      <w:r>
        <w:rPr>
          <w:rFonts w:hint="cs"/>
          <w:rtl/>
        </w:rPr>
        <w:t xml:space="preserve">نفسانی </w:t>
      </w:r>
      <w:r w:rsidR="008435EE">
        <w:rPr>
          <w:rFonts w:hint="cs"/>
          <w:rtl/>
        </w:rPr>
        <w:t>آن را مستنکر نمی دانند لذا می ب</w:t>
      </w:r>
      <w:r>
        <w:rPr>
          <w:rFonts w:hint="cs"/>
          <w:rtl/>
        </w:rPr>
        <w:t>ی</w:t>
      </w:r>
      <w:r w:rsidR="008435EE">
        <w:rPr>
          <w:rFonts w:hint="cs"/>
          <w:rtl/>
        </w:rPr>
        <w:t>نی</w:t>
      </w:r>
      <w:r>
        <w:rPr>
          <w:rFonts w:hint="cs"/>
          <w:rtl/>
        </w:rPr>
        <w:t>م اشخاص مثلا با رسیدن فصل زمستان فورا بخاری را نصب نمی کنند چون احتمال دارد م</w:t>
      </w:r>
      <w:r w:rsidR="008435EE">
        <w:rPr>
          <w:rFonts w:hint="cs"/>
          <w:rtl/>
        </w:rPr>
        <w:t>دتی هوا گرم بماند و نیاز به وسائ</w:t>
      </w:r>
      <w:r>
        <w:rPr>
          <w:rFonts w:hint="cs"/>
          <w:rtl/>
        </w:rPr>
        <w:t>ل سرمایشی داشته باشند مگر این که مثلا به دلیل داشتن فرزند ک</w:t>
      </w:r>
      <w:r w:rsidR="008435EE">
        <w:rPr>
          <w:rFonts w:hint="cs"/>
          <w:rtl/>
        </w:rPr>
        <w:t>و</w:t>
      </w:r>
      <w:r>
        <w:rPr>
          <w:rFonts w:hint="cs"/>
          <w:rtl/>
        </w:rPr>
        <w:t xml:space="preserve">چک و احتمال سرماخوردگی بخواهد </w:t>
      </w:r>
      <w:r w:rsidR="001F0FCD">
        <w:rPr>
          <w:rFonts w:hint="cs"/>
          <w:rtl/>
        </w:rPr>
        <w:t xml:space="preserve">به دلیل اهمیت مسأله </w:t>
      </w:r>
      <w:r>
        <w:rPr>
          <w:rFonts w:hint="cs"/>
          <w:rtl/>
        </w:rPr>
        <w:t>احتیاطا</w:t>
      </w:r>
      <w:r w:rsidR="001F0FCD">
        <w:rPr>
          <w:rFonts w:hint="cs"/>
          <w:rtl/>
        </w:rPr>
        <w:t>ً بخاری را زودتر نصب کن</w:t>
      </w:r>
      <w:r>
        <w:rPr>
          <w:rFonts w:hint="cs"/>
          <w:rtl/>
        </w:rPr>
        <w:t xml:space="preserve">د؛ علت مسأله این است که عقلاء می گویند </w:t>
      </w:r>
      <w:r>
        <w:rPr>
          <w:rFonts w:hint="cs"/>
          <w:rtl/>
        </w:rPr>
        <w:lastRenderedPageBreak/>
        <w:t xml:space="preserve">نمی توان هر روز بخاری را نصب کرد و دوباره جمع کرد </w:t>
      </w:r>
      <w:r w:rsidR="008435EE">
        <w:rPr>
          <w:rFonts w:hint="cs"/>
          <w:rtl/>
        </w:rPr>
        <w:t>لذا تا وقتی خیالشان از بی</w:t>
      </w:r>
      <w:r>
        <w:rPr>
          <w:rFonts w:hint="cs"/>
          <w:rtl/>
        </w:rPr>
        <w:t xml:space="preserve"> نیاز شدن از وس</w:t>
      </w:r>
      <w:r w:rsidR="008435EE">
        <w:rPr>
          <w:rFonts w:hint="cs"/>
          <w:rtl/>
        </w:rPr>
        <w:t>ا</w:t>
      </w:r>
      <w:r>
        <w:rPr>
          <w:rFonts w:hint="cs"/>
          <w:rtl/>
        </w:rPr>
        <w:t>ئل سرمایشی راحت نباشد آن را جمع نمی کنند.</w:t>
      </w:r>
    </w:p>
    <w:p w:rsidR="00530B03" w:rsidRDefault="00530B03" w:rsidP="0049356D">
      <w:pPr>
        <w:pStyle w:val="Heading3"/>
        <w:jc w:val="both"/>
        <w:rPr>
          <w:rtl/>
        </w:rPr>
      </w:pPr>
      <w:bookmarkStart w:id="8" w:name="_Toc97715285"/>
      <w:r>
        <w:rPr>
          <w:rFonts w:hint="cs"/>
          <w:rtl/>
        </w:rPr>
        <w:t>اشکال مرحوم آقای هاشمی به مبنای مرحوم آقای صدر</w:t>
      </w:r>
      <w:bookmarkEnd w:id="8"/>
    </w:p>
    <w:p w:rsidR="00530B03" w:rsidRDefault="00530B03" w:rsidP="0049356D">
      <w:pPr>
        <w:jc w:val="both"/>
        <w:rPr>
          <w:rtl/>
        </w:rPr>
      </w:pPr>
      <w:r>
        <w:rPr>
          <w:rFonts w:hint="cs"/>
          <w:rtl/>
        </w:rPr>
        <w:t>مرحوم آقای هاشمی در حاشیه به کلام مرحوم آقای صدر اشکال می کنند:</w:t>
      </w:r>
    </w:p>
    <w:p w:rsidR="006A774C" w:rsidRDefault="00C50BA4" w:rsidP="0049356D">
      <w:pPr>
        <w:jc w:val="both"/>
        <w:rPr>
          <w:rtl/>
        </w:rPr>
      </w:pPr>
      <w:r w:rsidRPr="00C50BA4">
        <w:rPr>
          <w:color w:val="000080"/>
          <w:rtl/>
        </w:rPr>
        <w:t>لا ينبغي الإشكال في ان الأمارات و الطرق قد أخذ في حجيتها نكات ذاتية أيضا من قبيل كونها ظهورا أو اخبارا من ثقة و لهذا لا يمكن أن يتعدى إلى كاشف آخر ربما يفترض فيه نفس المرتبة من درجة الكشف الشخصي أو النوعيّ</w:t>
      </w:r>
      <w:r w:rsidR="00D1140F">
        <w:rPr>
          <w:rFonts w:hint="cs"/>
          <w:color w:val="000080"/>
          <w:rtl/>
        </w:rPr>
        <w:t xml:space="preserve"> </w:t>
      </w:r>
      <w:r w:rsidR="00D1140F" w:rsidRPr="00D1140F">
        <w:rPr>
          <w:color w:val="000080"/>
          <w:rtl/>
        </w:rPr>
        <w:t>ّ و ليس ذلك إلّا من جهة أخذ خصوصية ذاتية في الحجية من قبيل غلبة حصول هذا الكاشف أو معهوديته لدى العقلاء أو إمكان الاكتفاء به أو أية حيثية ذاتية أخرى.</w:t>
      </w:r>
      <w:r w:rsidRPr="00C50BA4">
        <w:rPr>
          <w:rFonts w:hint="cs"/>
          <w:color w:val="000080"/>
          <w:rtl/>
        </w:rPr>
        <w:t>.</w:t>
      </w:r>
      <w:r>
        <w:rPr>
          <w:rStyle w:val="FootnoteReference"/>
          <w:rtl/>
        </w:rPr>
        <w:footnoteReference w:id="6"/>
      </w:r>
    </w:p>
    <w:p w:rsidR="00530B03" w:rsidRDefault="00530B03" w:rsidP="00D1140F">
      <w:pPr>
        <w:jc w:val="both"/>
        <w:rPr>
          <w:rtl/>
        </w:rPr>
      </w:pPr>
      <w:r>
        <w:rPr>
          <w:rFonts w:hint="cs"/>
          <w:rtl/>
        </w:rPr>
        <w:t xml:space="preserve">ایشان می فرماید در </w:t>
      </w:r>
      <w:r w:rsidR="00D1140F">
        <w:rPr>
          <w:rFonts w:hint="cs"/>
          <w:rtl/>
        </w:rPr>
        <w:t>خبر واحد و شهرت</w:t>
      </w:r>
      <w:r>
        <w:rPr>
          <w:rFonts w:hint="cs"/>
          <w:rtl/>
        </w:rPr>
        <w:t xml:space="preserve"> صرف طریقیت علت تامه برای حجیت نیست لذا نمی توان در امور دیگری که حتی بیشتر از خبر ثقه و امثال آن اماریت </w:t>
      </w:r>
      <w:r w:rsidR="00D968D5">
        <w:rPr>
          <w:rFonts w:hint="cs"/>
          <w:rtl/>
        </w:rPr>
        <w:t xml:space="preserve">شخصی </w:t>
      </w:r>
      <w:r>
        <w:rPr>
          <w:rFonts w:hint="cs"/>
          <w:rtl/>
        </w:rPr>
        <w:t>ی</w:t>
      </w:r>
      <w:r w:rsidR="00D968D5">
        <w:rPr>
          <w:rFonts w:hint="cs"/>
          <w:rtl/>
        </w:rPr>
        <w:t>ا</w:t>
      </w:r>
      <w:r>
        <w:rPr>
          <w:rFonts w:hint="cs"/>
          <w:rtl/>
        </w:rPr>
        <w:t xml:space="preserve"> نوعی دارند را حجت دانست بنابراین طریقیتی که ناشی از این امارۀ خاص است مناط حجیت را دارا می باشد نه مطلق طریقیت ولو از هر راهی حاصل شود؛</w:t>
      </w:r>
      <w:r w:rsidR="00D968D5">
        <w:rPr>
          <w:rFonts w:hint="cs"/>
          <w:rtl/>
        </w:rPr>
        <w:t xml:space="preserve"> پس می توان گفت طریقیت این ام</w:t>
      </w:r>
      <w:r>
        <w:rPr>
          <w:rFonts w:hint="cs"/>
          <w:rtl/>
        </w:rPr>
        <w:t>ا</w:t>
      </w:r>
      <w:r w:rsidR="00D968D5">
        <w:rPr>
          <w:rFonts w:hint="cs"/>
          <w:rtl/>
        </w:rPr>
        <w:t>ر</w:t>
      </w:r>
      <w:r>
        <w:rPr>
          <w:rFonts w:hint="cs"/>
          <w:rtl/>
        </w:rPr>
        <w:t xml:space="preserve">ۀ خاص </w:t>
      </w:r>
      <w:r w:rsidR="00D968D5">
        <w:rPr>
          <w:rFonts w:hint="cs"/>
          <w:rtl/>
        </w:rPr>
        <w:t xml:space="preserve">مثلا </w:t>
      </w:r>
      <w:r>
        <w:rPr>
          <w:rFonts w:hint="cs"/>
          <w:rtl/>
        </w:rPr>
        <w:t>به دلیل معه</w:t>
      </w:r>
      <w:r w:rsidR="00D968D5">
        <w:rPr>
          <w:rFonts w:hint="cs"/>
          <w:rtl/>
        </w:rPr>
        <w:t xml:space="preserve">ودیت یا </w:t>
      </w:r>
      <w:r w:rsidR="00D1140F">
        <w:rPr>
          <w:rFonts w:hint="cs"/>
          <w:rtl/>
        </w:rPr>
        <w:t>غلبه حصول این کاشف یا هر نکتۀ دیگری</w:t>
      </w:r>
      <w:r w:rsidR="00D968D5">
        <w:rPr>
          <w:rFonts w:hint="cs"/>
          <w:rtl/>
        </w:rPr>
        <w:t xml:space="preserve"> که در ب</w:t>
      </w:r>
      <w:r>
        <w:rPr>
          <w:rFonts w:hint="cs"/>
          <w:rtl/>
        </w:rPr>
        <w:t>ی</w:t>
      </w:r>
      <w:r w:rsidR="00D968D5">
        <w:rPr>
          <w:rFonts w:hint="cs"/>
          <w:rtl/>
        </w:rPr>
        <w:t>ن</w:t>
      </w:r>
      <w:r>
        <w:rPr>
          <w:rFonts w:hint="cs"/>
          <w:rtl/>
        </w:rPr>
        <w:t xml:space="preserve"> عقلاء دارد حجت دانسته شده لذا مجرد طریقیت کفایت نمی کند.</w:t>
      </w:r>
    </w:p>
    <w:p w:rsidR="00530B03" w:rsidRDefault="00530B03" w:rsidP="00D1140F">
      <w:pPr>
        <w:jc w:val="both"/>
        <w:rPr>
          <w:rtl/>
        </w:rPr>
      </w:pPr>
      <w:r>
        <w:rPr>
          <w:rFonts w:hint="cs"/>
          <w:rtl/>
        </w:rPr>
        <w:t xml:space="preserve">این اشکال درست است اما </w:t>
      </w:r>
      <w:r w:rsidR="00D1140F">
        <w:rPr>
          <w:rFonts w:hint="cs"/>
          <w:rtl/>
        </w:rPr>
        <w:t xml:space="preserve">چنین اشکالی </w:t>
      </w:r>
      <w:r>
        <w:rPr>
          <w:rFonts w:hint="cs"/>
          <w:rtl/>
        </w:rPr>
        <w:t>به محقق خراسانی وارد نمی شود چون م</w:t>
      </w:r>
      <w:r w:rsidR="00D968D5">
        <w:rPr>
          <w:rFonts w:hint="cs"/>
          <w:rtl/>
        </w:rPr>
        <w:t>حقق خراسانی کاشفیت حاصل از امارۀ خاص</w:t>
      </w:r>
      <w:r>
        <w:rPr>
          <w:rFonts w:hint="cs"/>
          <w:rtl/>
        </w:rPr>
        <w:t xml:space="preserve"> را مناط حجیت دانسته اند نه مطلق کاشفیت را لذا اشکالات آقای هاشمی تنها به مرحوم آقای صدر وارد بوده و ربطی به </w:t>
      </w:r>
      <w:r w:rsidR="00D968D5">
        <w:rPr>
          <w:rFonts w:hint="cs"/>
          <w:rtl/>
        </w:rPr>
        <w:t>کلام</w:t>
      </w:r>
      <w:r>
        <w:rPr>
          <w:rFonts w:hint="cs"/>
          <w:rtl/>
        </w:rPr>
        <w:t xml:space="preserve"> محقق خراسانی ندارد.</w:t>
      </w:r>
    </w:p>
    <w:p w:rsidR="00530B03" w:rsidRDefault="00530B03" w:rsidP="0049356D">
      <w:pPr>
        <w:jc w:val="both"/>
        <w:rPr>
          <w:rtl/>
        </w:rPr>
      </w:pPr>
      <w:r>
        <w:rPr>
          <w:rFonts w:hint="cs"/>
          <w:rtl/>
        </w:rPr>
        <w:t xml:space="preserve">مرحوم حاج شیخ در درر نیز بیش از محقق خراسانی به این مطلب تاکید می کنند که اماریت و طریقیت حاصل از این امارۀ خاص حجت است نه هر </w:t>
      </w:r>
      <w:r w:rsidR="00C50BA4">
        <w:rPr>
          <w:rFonts w:hint="cs"/>
          <w:rtl/>
        </w:rPr>
        <w:t>راهی</w:t>
      </w:r>
      <w:r>
        <w:rPr>
          <w:rFonts w:hint="cs"/>
          <w:rtl/>
        </w:rPr>
        <w:t xml:space="preserve"> البته همانطور که محقق خراسانی گفتند این امارۀ خاص در تمام ما تکشف عنه حجت می شود نه در خصوص مؤدایش.</w:t>
      </w:r>
    </w:p>
    <w:p w:rsidR="00C50BA4" w:rsidRDefault="00C50BA4" w:rsidP="0049356D">
      <w:pPr>
        <w:jc w:val="both"/>
        <w:rPr>
          <w:rtl/>
        </w:rPr>
      </w:pPr>
      <w:r>
        <w:rPr>
          <w:rFonts w:hint="cs"/>
          <w:rtl/>
        </w:rPr>
        <w:t>ایشان در چند موضع از عبارت به کافیت حاصله از این امار</w:t>
      </w:r>
      <w:r w:rsidR="0049356D">
        <w:rPr>
          <w:rFonts w:hint="cs"/>
          <w:rtl/>
        </w:rPr>
        <w:t>ۀ</w:t>
      </w:r>
      <w:r>
        <w:rPr>
          <w:rFonts w:hint="cs"/>
          <w:rtl/>
        </w:rPr>
        <w:t xml:space="preserve"> خاص تاکید می کنند:</w:t>
      </w:r>
    </w:p>
    <w:p w:rsidR="00C50BA4" w:rsidRDefault="00C50BA4" w:rsidP="0049356D">
      <w:pPr>
        <w:jc w:val="both"/>
        <w:rPr>
          <w:color w:val="000080"/>
          <w:rtl/>
        </w:rPr>
      </w:pPr>
      <w:r w:rsidRPr="00C50BA4">
        <w:rPr>
          <w:color w:val="000080"/>
          <w:rtl/>
        </w:rPr>
        <w:t xml:space="preserve">الوجه في ذلك ان الطرق و الأمارات انما اعتبرت من جهة كشفها عن الواقع و افادتها الظن النوعيّ به و لا إشكال في ان ما يكشف عن الملزوم يكشف عن اللازم بعد العلم بالملازمة فالظن النوعيّ المتعلق باللازم </w:t>
      </w:r>
      <w:r w:rsidRPr="00C50BA4">
        <w:rPr>
          <w:b/>
          <w:bCs/>
          <w:color w:val="000080"/>
          <w:u w:val="single"/>
          <w:rtl/>
        </w:rPr>
        <w:t>ظن حاصل من تلك الأمارة</w:t>
      </w:r>
      <w:r w:rsidRPr="00C50BA4">
        <w:rPr>
          <w:color w:val="000080"/>
          <w:rtl/>
        </w:rPr>
        <w:t xml:space="preserve"> و دليل </w:t>
      </w:r>
      <w:r w:rsidRPr="00C50BA4">
        <w:rPr>
          <w:color w:val="000080"/>
          <w:rtl/>
        </w:rPr>
        <w:lastRenderedPageBreak/>
        <w:t xml:space="preserve">حجيتها دل على اعتبار </w:t>
      </w:r>
      <w:r w:rsidRPr="00C50BA4">
        <w:rPr>
          <w:b/>
          <w:bCs/>
          <w:color w:val="000080"/>
          <w:u w:val="single"/>
          <w:rtl/>
        </w:rPr>
        <w:t>الظن النوعيّ الحاصل منها</w:t>
      </w:r>
      <w:r w:rsidRPr="00C50BA4">
        <w:rPr>
          <w:color w:val="000080"/>
          <w:rtl/>
        </w:rPr>
        <w:t xml:space="preserve"> فهنا فردان من </w:t>
      </w:r>
      <w:r w:rsidRPr="00C50BA4">
        <w:rPr>
          <w:b/>
          <w:bCs/>
          <w:color w:val="000080"/>
          <w:u w:val="single"/>
          <w:rtl/>
        </w:rPr>
        <w:t>الكشف الحاصل منها</w:t>
      </w:r>
      <w:r w:rsidRPr="00C50BA4">
        <w:rPr>
          <w:color w:val="000080"/>
          <w:rtl/>
        </w:rPr>
        <w:t xml:space="preserve"> فان كان كل منهما قابلا للاعتبار يشملهما دليل الحجية و ان كان أحدهما دون الآخر يدخل هو تحت دليل الحجية دونه و بهذا يظهر انه لو كان مفاد الأمارة ابتداء امرا لم يكن شرعيا و لا موضوعا للأثر الشرعي و لكن ينتهى إلى أثر شرعي بألف واسطة يثبت ذلك الأثر الشرعي لأن الأمارة تكشف عن وجود ذلك الأثر و يصير مظنونا </w:t>
      </w:r>
      <w:r w:rsidRPr="00C50BA4">
        <w:rPr>
          <w:b/>
          <w:bCs/>
          <w:color w:val="000080"/>
          <w:u w:val="single"/>
          <w:rtl/>
        </w:rPr>
        <w:t>بالظن النوعيّ الحاصل من تلك</w:t>
      </w:r>
      <w:r w:rsidRPr="00C50BA4">
        <w:rPr>
          <w:color w:val="000080"/>
          <w:rtl/>
        </w:rPr>
        <w:t xml:space="preserve"> و لا يتوقف إثبات هذا الأثر الشرعي على اعتبار الأمارة في الوسائط حتى يستشكل بأنها ليست قابلة لأن يعتبر فيها الأمارة بل دليل الحجية يشمل </w:t>
      </w:r>
      <w:r w:rsidRPr="00C50BA4">
        <w:rPr>
          <w:b/>
          <w:bCs/>
          <w:color w:val="000080"/>
          <w:u w:val="single"/>
          <w:rtl/>
        </w:rPr>
        <w:t>الكشف الحاصل من تلك‏</w:t>
      </w:r>
      <w:r w:rsidRPr="00C50BA4">
        <w:rPr>
          <w:rFonts w:hint="cs"/>
          <w:b/>
          <w:bCs/>
          <w:color w:val="000080"/>
          <w:u w:val="single"/>
          <w:rtl/>
        </w:rPr>
        <w:t xml:space="preserve"> </w:t>
      </w:r>
      <w:r w:rsidRPr="00C50BA4">
        <w:rPr>
          <w:b/>
          <w:bCs/>
          <w:color w:val="000080"/>
          <w:u w:val="single"/>
          <w:rtl/>
        </w:rPr>
        <w:t>الأمارة</w:t>
      </w:r>
      <w:r w:rsidRPr="00C50BA4">
        <w:rPr>
          <w:color w:val="000080"/>
          <w:rtl/>
        </w:rPr>
        <w:t xml:space="preserve"> عن الأثر الشرعي ابتداء</w:t>
      </w:r>
      <w:r>
        <w:rPr>
          <w:rFonts w:hint="cs"/>
          <w:color w:val="000080"/>
          <w:rtl/>
        </w:rPr>
        <w:t xml:space="preserve"> ... </w:t>
      </w:r>
      <w:r>
        <w:rPr>
          <w:rStyle w:val="FootnoteReference"/>
          <w:color w:val="000080"/>
          <w:rtl/>
        </w:rPr>
        <w:footnoteReference w:id="7"/>
      </w:r>
    </w:p>
    <w:p w:rsidR="00D1140F" w:rsidRPr="00C50BA4" w:rsidRDefault="00D1140F" w:rsidP="00D1140F">
      <w:pPr>
        <w:jc w:val="both"/>
        <w:rPr>
          <w:rtl/>
        </w:rPr>
      </w:pPr>
      <w:r>
        <w:rPr>
          <w:rFonts w:hint="cs"/>
          <w:rtl/>
        </w:rPr>
        <w:t>بنابراین هم محقق خراسانی و هم مرحوم حاج شیخ البته با تاکید بیشتر می فرمایند صرف کاشفیت کافی نیست بلکه کاشفیت باید ناشی از این امارۀ خاص باشد اما تمام کاشفیتی که از این امارۀ خاص حاصل می شود چه در مؤدا و چه در لوازم معتبر است.</w:t>
      </w:r>
      <w:bookmarkStart w:id="9" w:name="_GoBack"/>
      <w:bookmarkEnd w:id="9"/>
    </w:p>
    <w:p w:rsidR="00D968D5" w:rsidRDefault="00D968D5" w:rsidP="0049356D">
      <w:pPr>
        <w:pStyle w:val="Heading2"/>
        <w:jc w:val="both"/>
        <w:rPr>
          <w:rtl/>
        </w:rPr>
      </w:pPr>
      <w:r>
        <w:rPr>
          <w:rFonts w:hint="cs"/>
          <w:rtl/>
        </w:rPr>
        <w:t>لزوم تغییر مسیر بحث</w:t>
      </w:r>
    </w:p>
    <w:p w:rsidR="00FF7A01" w:rsidRPr="006162A2" w:rsidRDefault="006956B6" w:rsidP="0049356D">
      <w:pPr>
        <w:jc w:val="both"/>
        <w:rPr>
          <w:rtl/>
        </w:rPr>
      </w:pPr>
      <w:r>
        <w:rPr>
          <w:rFonts w:hint="cs"/>
          <w:rtl/>
        </w:rPr>
        <w:t>به نظر می رسد کل چنیش این بحث در کلمات آقایان نیاز به تغییر دارد و این روش بحث</w:t>
      </w:r>
      <w:r w:rsidR="00D968D5">
        <w:rPr>
          <w:rFonts w:hint="cs"/>
          <w:rtl/>
        </w:rPr>
        <w:t>،</w:t>
      </w:r>
      <w:r>
        <w:rPr>
          <w:rFonts w:hint="cs"/>
          <w:rtl/>
        </w:rPr>
        <w:t xml:space="preserve"> روش درستی نیست.</w:t>
      </w:r>
    </w:p>
    <w:sectPr w:rsidR="00FF7A01"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811" w:rsidRDefault="00B05811" w:rsidP="008B750B">
      <w:pPr>
        <w:spacing w:line="240" w:lineRule="auto"/>
      </w:pPr>
      <w:r>
        <w:separator/>
      </w:r>
    </w:p>
  </w:endnote>
  <w:endnote w:type="continuationSeparator" w:id="0">
    <w:p w:rsidR="00B05811" w:rsidRDefault="00B0581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D1140F" w:rsidRPr="00D1140F">
            <w:rPr>
              <w:noProof/>
              <w:rtl/>
              <w:lang w:val="fa-IR"/>
            </w:rPr>
            <w:t>6</w:t>
          </w:r>
          <w:r>
            <w:rPr>
              <w:noProof/>
            </w:rPr>
            <w:fldChar w:fldCharType="end"/>
          </w:r>
        </w:p>
      </w:tc>
      <w:tc>
        <w:tcPr>
          <w:tcW w:w="4786" w:type="dxa"/>
          <w:tcBorders>
            <w:top w:val="nil"/>
            <w:left w:val="nil"/>
            <w:bottom w:val="nil"/>
            <w:right w:val="nil"/>
          </w:tcBorders>
          <w:vAlign w:val="center"/>
        </w:tcPr>
        <w:p w:rsidR="006D44C1" w:rsidRPr="006D44C1" w:rsidRDefault="00B926B3" w:rsidP="001B6799">
          <w:pPr>
            <w:pStyle w:val="Footer"/>
            <w:bidi w:val="0"/>
            <w:rPr>
              <w:color w:val="808080" w:themeColor="background1" w:themeShade="80"/>
              <w:rtl/>
            </w:rPr>
          </w:pPr>
          <w:bookmarkStart w:id="17" w:name="BokAdres"/>
          <w:bookmarkEnd w:id="17"/>
          <w:r>
            <w:rPr>
              <w:color w:val="808080" w:themeColor="background1" w:themeShade="80"/>
            </w:rPr>
            <w:t>U1js1_14001218-092_ga1_mfeb.ir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811" w:rsidRDefault="00B05811" w:rsidP="008B750B">
      <w:pPr>
        <w:spacing w:line="240" w:lineRule="auto"/>
      </w:pPr>
      <w:r>
        <w:separator/>
      </w:r>
    </w:p>
  </w:footnote>
  <w:footnote w:type="continuationSeparator" w:id="0">
    <w:p w:rsidR="00B05811" w:rsidRDefault="00B05811" w:rsidP="008B750B">
      <w:pPr>
        <w:spacing w:line="240" w:lineRule="auto"/>
      </w:pPr>
      <w:r>
        <w:continuationSeparator/>
      </w:r>
    </w:p>
  </w:footnote>
  <w:footnote w:id="1">
    <w:p w:rsidR="000D5058" w:rsidRDefault="000D5058" w:rsidP="000D5058">
      <w:pPr>
        <w:pStyle w:val="FootnoteText"/>
      </w:pPr>
      <w:r>
        <w:rPr>
          <w:rStyle w:val="FootnoteReference"/>
        </w:rPr>
        <w:footnoteRef/>
      </w:r>
      <w:r>
        <w:rPr>
          <w:rtl/>
        </w:rPr>
        <w:t xml:space="preserve"> </w:t>
      </w:r>
      <w:r w:rsidRPr="000D5058">
        <w:rPr>
          <w:rtl/>
        </w:rPr>
        <w:t>كفاية الأصول ( طبع آل البيت )، ص: 416</w:t>
      </w:r>
    </w:p>
  </w:footnote>
  <w:footnote w:id="2">
    <w:p w:rsidR="000D5058" w:rsidRDefault="000D5058" w:rsidP="000D5058">
      <w:pPr>
        <w:pStyle w:val="FootnoteText"/>
      </w:pPr>
      <w:r>
        <w:rPr>
          <w:rStyle w:val="FootnoteReference"/>
        </w:rPr>
        <w:footnoteRef/>
      </w:r>
      <w:r>
        <w:rPr>
          <w:rtl/>
        </w:rPr>
        <w:t xml:space="preserve"> </w:t>
      </w:r>
      <w:r>
        <w:rPr>
          <w:rFonts w:hint="cs"/>
          <w:rtl/>
        </w:rPr>
        <w:t xml:space="preserve">ر ک </w:t>
      </w:r>
      <w:r w:rsidRPr="000D5058">
        <w:rPr>
          <w:rtl/>
        </w:rPr>
        <w:t>منتقى الأصول، ج‏6، ص: 228</w:t>
      </w:r>
    </w:p>
  </w:footnote>
  <w:footnote w:id="3">
    <w:p w:rsidR="001717A4" w:rsidRDefault="001717A4" w:rsidP="001717A4">
      <w:pPr>
        <w:pStyle w:val="FootnoteText"/>
      </w:pPr>
      <w:r>
        <w:rPr>
          <w:rStyle w:val="FootnoteReference"/>
        </w:rPr>
        <w:footnoteRef/>
      </w:r>
      <w:r w:rsidRPr="001717A4">
        <w:rPr>
          <w:rtl/>
        </w:rPr>
        <w:t xml:space="preserve"> درر الفوائد في الحاشية على الفرائد، الحاشيةالجديدة، ص: 351</w:t>
      </w:r>
    </w:p>
  </w:footnote>
  <w:footnote w:id="4">
    <w:p w:rsidR="001E6207" w:rsidRDefault="001E6207" w:rsidP="001E6207">
      <w:pPr>
        <w:pStyle w:val="FootnoteText"/>
      </w:pPr>
      <w:r>
        <w:rPr>
          <w:rStyle w:val="FootnoteReference"/>
        </w:rPr>
        <w:footnoteRef/>
      </w:r>
      <w:r w:rsidRPr="001E6207">
        <w:rPr>
          <w:rtl/>
        </w:rPr>
        <w:t xml:space="preserve"> بحوث في علم الأصول، ج‏6، ص: 178</w:t>
      </w:r>
    </w:p>
  </w:footnote>
  <w:footnote w:id="5">
    <w:p w:rsidR="00E27587" w:rsidRDefault="00E27587">
      <w:pPr>
        <w:pStyle w:val="FootnoteText"/>
      </w:pPr>
      <w:r>
        <w:rPr>
          <w:rStyle w:val="FootnoteReference"/>
        </w:rPr>
        <w:footnoteRef/>
      </w:r>
      <w:r>
        <w:rPr>
          <w:rtl/>
        </w:rPr>
        <w:t xml:space="preserve"> </w:t>
      </w:r>
      <w:r>
        <w:rPr>
          <w:rFonts w:hint="cs"/>
          <w:rtl/>
        </w:rPr>
        <w:t>تهذیب الاحکام (تحقیق خرسان) ج1 ص101.</w:t>
      </w:r>
    </w:p>
  </w:footnote>
  <w:footnote w:id="6">
    <w:p w:rsidR="00C50BA4" w:rsidRDefault="00C50BA4" w:rsidP="00C50BA4">
      <w:pPr>
        <w:pStyle w:val="FootnoteText"/>
      </w:pPr>
      <w:r>
        <w:rPr>
          <w:rStyle w:val="FootnoteReference"/>
        </w:rPr>
        <w:footnoteRef/>
      </w:r>
      <w:r>
        <w:rPr>
          <w:rtl/>
        </w:rPr>
        <w:t xml:space="preserve"> </w:t>
      </w:r>
      <w:r w:rsidRPr="00C50BA4">
        <w:rPr>
          <w:rtl/>
        </w:rPr>
        <w:t>بحوث في علم الأصول، ج‏6، ص: 181</w:t>
      </w:r>
    </w:p>
  </w:footnote>
  <w:footnote w:id="7">
    <w:p w:rsidR="00C50BA4" w:rsidRDefault="00C50BA4" w:rsidP="00C50BA4">
      <w:pPr>
        <w:pStyle w:val="FootnoteText"/>
      </w:pPr>
      <w:r>
        <w:rPr>
          <w:rStyle w:val="FootnoteReference"/>
        </w:rPr>
        <w:footnoteRef/>
      </w:r>
      <w:r>
        <w:rPr>
          <w:rtl/>
        </w:rPr>
        <w:t xml:space="preserve"> </w:t>
      </w:r>
      <w:r w:rsidRPr="00C50BA4">
        <w:rPr>
          <w:rtl/>
        </w:rPr>
        <w:t>درر الفوائد ( طبع قديم )، ج‏2، ص: 190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B926B3">
      <w:rPr>
        <w:b/>
        <w:bCs/>
        <w:sz w:val="20"/>
        <w:szCs w:val="24"/>
        <w:rtl/>
      </w:rPr>
      <w:t>092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B926B3">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B926B3">
      <w:rPr>
        <w:b/>
        <w:bCs/>
        <w:color w:val="632423" w:themeColor="accent2" w:themeShade="80"/>
        <w:sz w:val="20"/>
        <w:szCs w:val="24"/>
        <w:rtl/>
      </w:rPr>
      <w:t>س</w:t>
    </w:r>
    <w:r w:rsidR="00B926B3">
      <w:rPr>
        <w:rFonts w:hint="cs"/>
        <w:b/>
        <w:bCs/>
        <w:color w:val="632423" w:themeColor="accent2" w:themeShade="80"/>
        <w:sz w:val="20"/>
        <w:szCs w:val="24"/>
        <w:rtl/>
      </w:rPr>
      <w:t>ی</w:t>
    </w:r>
    <w:r w:rsidR="00B926B3">
      <w:rPr>
        <w:rFonts w:hint="eastAsia"/>
        <w:b/>
        <w:bCs/>
        <w:color w:val="632423" w:themeColor="accent2" w:themeShade="80"/>
        <w:sz w:val="20"/>
        <w:szCs w:val="24"/>
        <w:rtl/>
      </w:rPr>
      <w:t>د</w:t>
    </w:r>
    <w:r w:rsidR="00B926B3">
      <w:rPr>
        <w:b/>
        <w:bCs/>
        <w:color w:val="632423" w:themeColor="accent2" w:themeShade="80"/>
        <w:sz w:val="20"/>
        <w:szCs w:val="24"/>
        <w:rtl/>
      </w:rPr>
      <w:t xml:space="preserve"> محمد جواد شب</w:t>
    </w:r>
    <w:r w:rsidR="00B926B3">
      <w:rPr>
        <w:rFonts w:hint="cs"/>
        <w:b/>
        <w:bCs/>
        <w:color w:val="632423" w:themeColor="accent2" w:themeShade="80"/>
        <w:sz w:val="20"/>
        <w:szCs w:val="24"/>
        <w:rtl/>
      </w:rPr>
      <w:t>ی</w:t>
    </w:r>
    <w:r w:rsidR="00B926B3">
      <w:rPr>
        <w:rFonts w:hint="eastAsia"/>
        <w:b/>
        <w:bCs/>
        <w:color w:val="632423" w:themeColor="accent2" w:themeShade="80"/>
        <w:sz w:val="20"/>
        <w:szCs w:val="24"/>
        <w:rtl/>
      </w:rPr>
      <w:t>ر</w:t>
    </w:r>
    <w:r w:rsidR="00B926B3">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B926B3">
      <w:rPr>
        <w:sz w:val="24"/>
        <w:szCs w:val="24"/>
        <w:rtl/>
      </w:rPr>
      <w:t>18 /12 /1400</w:t>
    </w:r>
  </w:p>
  <w:p w:rsidR="00FA3B17" w:rsidRPr="00F16B53" w:rsidRDefault="00935A55" w:rsidP="00334B4D">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B926B3">
      <w:rPr>
        <w:color w:val="000000" w:themeColor="text1"/>
        <w:sz w:val="24"/>
        <w:szCs w:val="24"/>
        <w:rtl/>
      </w:rPr>
      <w:t>تنب</w:t>
    </w:r>
    <w:r w:rsidR="00B926B3">
      <w:rPr>
        <w:rFonts w:hint="cs"/>
        <w:color w:val="000000" w:themeColor="text1"/>
        <w:sz w:val="24"/>
        <w:szCs w:val="24"/>
        <w:rtl/>
      </w:rPr>
      <w:t>ی</w:t>
    </w:r>
    <w:r w:rsidR="00B926B3">
      <w:rPr>
        <w:rFonts w:hint="eastAsia"/>
        <w:color w:val="000000" w:themeColor="text1"/>
        <w:sz w:val="24"/>
        <w:szCs w:val="24"/>
        <w:rtl/>
      </w:rPr>
      <w:t>هات</w:t>
    </w:r>
    <w:r w:rsidR="00B926B3">
      <w:rPr>
        <w:color w:val="000000" w:themeColor="text1"/>
        <w:sz w:val="24"/>
        <w:szCs w:val="24"/>
        <w:rtl/>
      </w:rPr>
      <w:t xml:space="preserve"> استصحاب</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334B4D">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B926B3">
      <w:rPr>
        <w:sz w:val="24"/>
        <w:szCs w:val="24"/>
        <w:rtl/>
      </w:rPr>
      <w:t>اصل مثبت</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8670BC"/>
    <w:multiLevelType w:val="hybridMultilevel"/>
    <w:tmpl w:val="52BEC972"/>
    <w:lvl w:ilvl="0" w:tplc="05088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5058"/>
    <w:rsid w:val="000D6818"/>
    <w:rsid w:val="000E335E"/>
    <w:rsid w:val="000F16CF"/>
    <w:rsid w:val="000F5BAC"/>
    <w:rsid w:val="00102585"/>
    <w:rsid w:val="00114AB7"/>
    <w:rsid w:val="00116B2B"/>
    <w:rsid w:val="00121FCB"/>
    <w:rsid w:val="00124E3D"/>
    <w:rsid w:val="00127E95"/>
    <w:rsid w:val="00130659"/>
    <w:rsid w:val="001347C7"/>
    <w:rsid w:val="001356B0"/>
    <w:rsid w:val="00151937"/>
    <w:rsid w:val="001717A4"/>
    <w:rsid w:val="00181844"/>
    <w:rsid w:val="001837E9"/>
    <w:rsid w:val="00187DFA"/>
    <w:rsid w:val="001A1BC1"/>
    <w:rsid w:val="001A1EA5"/>
    <w:rsid w:val="001A2574"/>
    <w:rsid w:val="001A27D7"/>
    <w:rsid w:val="001A294E"/>
    <w:rsid w:val="001A4ED8"/>
    <w:rsid w:val="001B2488"/>
    <w:rsid w:val="001B6799"/>
    <w:rsid w:val="001C1362"/>
    <w:rsid w:val="001D2E9A"/>
    <w:rsid w:val="001D3FD6"/>
    <w:rsid w:val="001D597F"/>
    <w:rsid w:val="001E3FD4"/>
    <w:rsid w:val="001E6207"/>
    <w:rsid w:val="001F0FCD"/>
    <w:rsid w:val="0020241A"/>
    <w:rsid w:val="00203821"/>
    <w:rsid w:val="00211632"/>
    <w:rsid w:val="0021630D"/>
    <w:rsid w:val="0024121B"/>
    <w:rsid w:val="00247D2F"/>
    <w:rsid w:val="00256560"/>
    <w:rsid w:val="0027605E"/>
    <w:rsid w:val="00281E00"/>
    <w:rsid w:val="00294A52"/>
    <w:rsid w:val="002A0FDB"/>
    <w:rsid w:val="002B23D5"/>
    <w:rsid w:val="002B575F"/>
    <w:rsid w:val="002B729B"/>
    <w:rsid w:val="002C23B5"/>
    <w:rsid w:val="002C53A2"/>
    <w:rsid w:val="002D0040"/>
    <w:rsid w:val="002D2FA8"/>
    <w:rsid w:val="002E220F"/>
    <w:rsid w:val="00307311"/>
    <w:rsid w:val="0032100F"/>
    <w:rsid w:val="0033402C"/>
    <w:rsid w:val="00334B4D"/>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14373"/>
    <w:rsid w:val="00425015"/>
    <w:rsid w:val="00430994"/>
    <w:rsid w:val="004354EB"/>
    <w:rsid w:val="00441B6D"/>
    <w:rsid w:val="004556EF"/>
    <w:rsid w:val="00457113"/>
    <w:rsid w:val="00462B07"/>
    <w:rsid w:val="00465BD2"/>
    <w:rsid w:val="004715C8"/>
    <w:rsid w:val="00481C31"/>
    <w:rsid w:val="00482FC1"/>
    <w:rsid w:val="00483027"/>
    <w:rsid w:val="004871AA"/>
    <w:rsid w:val="004918D7"/>
    <w:rsid w:val="004926E1"/>
    <w:rsid w:val="0049356D"/>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0B03"/>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956B6"/>
    <w:rsid w:val="006A4134"/>
    <w:rsid w:val="006A5DDA"/>
    <w:rsid w:val="006A6701"/>
    <w:rsid w:val="006A774C"/>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47697"/>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435EE"/>
    <w:rsid w:val="0085276D"/>
    <w:rsid w:val="00863390"/>
    <w:rsid w:val="0086385C"/>
    <w:rsid w:val="0086464D"/>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E4D12"/>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AF6341"/>
    <w:rsid w:val="00B05811"/>
    <w:rsid w:val="00B1296B"/>
    <w:rsid w:val="00B12CA8"/>
    <w:rsid w:val="00B2292F"/>
    <w:rsid w:val="00B43169"/>
    <w:rsid w:val="00B501A8"/>
    <w:rsid w:val="00B55AE4"/>
    <w:rsid w:val="00B70B46"/>
    <w:rsid w:val="00B739B0"/>
    <w:rsid w:val="00B814A3"/>
    <w:rsid w:val="00B926B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0BA4"/>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140F"/>
    <w:rsid w:val="00D11CEE"/>
    <w:rsid w:val="00D15CBD"/>
    <w:rsid w:val="00D221CB"/>
    <w:rsid w:val="00D23391"/>
    <w:rsid w:val="00D2421D"/>
    <w:rsid w:val="00D31805"/>
    <w:rsid w:val="00D552B9"/>
    <w:rsid w:val="00D735B2"/>
    <w:rsid w:val="00D74021"/>
    <w:rsid w:val="00D76D01"/>
    <w:rsid w:val="00D922A9"/>
    <w:rsid w:val="00D9394A"/>
    <w:rsid w:val="00D968D5"/>
    <w:rsid w:val="00DB0CBB"/>
    <w:rsid w:val="00DB67CC"/>
    <w:rsid w:val="00DC3783"/>
    <w:rsid w:val="00DE1070"/>
    <w:rsid w:val="00E00219"/>
    <w:rsid w:val="00E0316B"/>
    <w:rsid w:val="00E25E10"/>
    <w:rsid w:val="00E27587"/>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4616A"/>
    <w:rsid w:val="00F60F1F"/>
    <w:rsid w:val="00F64141"/>
    <w:rsid w:val="00F67508"/>
    <w:rsid w:val="00F71FC9"/>
    <w:rsid w:val="00F73B48"/>
    <w:rsid w:val="00F74F51"/>
    <w:rsid w:val="00F842AD"/>
    <w:rsid w:val="00F914EB"/>
    <w:rsid w:val="00F91B85"/>
    <w:rsid w:val="00F92292"/>
    <w:rsid w:val="00F938E7"/>
    <w:rsid w:val="00FA3B17"/>
    <w:rsid w:val="00FA5E8D"/>
    <w:rsid w:val="00FA5F3D"/>
    <w:rsid w:val="00FB399E"/>
    <w:rsid w:val="00FB7F50"/>
    <w:rsid w:val="00FC2A85"/>
    <w:rsid w:val="00FC40AF"/>
    <w:rsid w:val="00FC73B9"/>
    <w:rsid w:val="00FD0A16"/>
    <w:rsid w:val="00FE3D7D"/>
    <w:rsid w:val="00FE6DCF"/>
    <w:rsid w:val="00FF6BC0"/>
    <w:rsid w:val="00FF7A01"/>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02F2FD"/>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AE852-5BBC-4B98-A4A7-D12C422E5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300</TotalTime>
  <Pages>6</Pages>
  <Words>1417</Words>
  <Characters>8081</Characters>
  <Application>Microsoft Office Word</Application>
  <DocSecurity>0</DocSecurity>
  <Lines>67</Lines>
  <Paragraphs>18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9480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Windows User</cp:lastModifiedBy>
  <cp:revision>20</cp:revision>
  <dcterms:created xsi:type="dcterms:W3CDTF">2022-03-09T16:16:00Z</dcterms:created>
  <dcterms:modified xsi:type="dcterms:W3CDTF">2022-03-10T05:51:00Z</dcterms:modified>
  <cp:contentStatus>ویرایش 2.5</cp:contentStatus>
  <cp:version>2.7</cp:version>
</cp:coreProperties>
</file>