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82F767" w14:textId="77777777" w:rsidR="008B750B" w:rsidRPr="00D31761" w:rsidRDefault="00783473" w:rsidP="00654DB0">
      <w:pPr>
        <w:rPr>
          <w:rtl/>
        </w:rPr>
      </w:pPr>
      <w:r w:rsidRPr="00D31761">
        <w:rPr>
          <w:rFonts w:hint="cs"/>
          <w:noProof/>
          <w:rtl/>
        </w:rPr>
        <w:drawing>
          <wp:inline distT="0" distB="0" distL="0" distR="0" wp14:anchorId="4EFB7A3B" wp14:editId="208D11A9">
            <wp:extent cx="723899" cy="241300"/>
            <wp:effectExtent l="0" t="0" r="63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esm.PNG"/>
                    <pic:cNvPicPr/>
                  </pic:nvPicPr>
                  <pic:blipFill>
                    <a:blip r:embed="rId8">
                      <a:extLst>
                        <a:ext uri="{28A0092B-C50C-407E-A947-70E740481C1C}">
                          <a14:useLocalDpi xmlns:a14="http://schemas.microsoft.com/office/drawing/2010/main" val="0"/>
                        </a:ext>
                      </a:extLst>
                    </a:blip>
                    <a:stretch>
                      <a:fillRect/>
                    </a:stretch>
                  </pic:blipFill>
                  <pic:spPr>
                    <a:xfrm>
                      <a:off x="0" y="0"/>
                      <a:ext cx="769508" cy="256503"/>
                    </a:xfrm>
                    <a:prstGeom prst="rect">
                      <a:avLst/>
                    </a:prstGeom>
                  </pic:spPr>
                </pic:pic>
              </a:graphicData>
            </a:graphic>
          </wp:inline>
        </w:drawing>
      </w:r>
    </w:p>
    <w:p w14:paraId="6D107462" w14:textId="77777777" w:rsidR="00FC3AC1" w:rsidRPr="00236620" w:rsidRDefault="00FC3AC1" w:rsidP="00FC3AC1">
      <w:pPr>
        <w:autoSpaceDE w:val="0"/>
        <w:autoSpaceDN w:val="0"/>
        <w:adjustRightInd w:val="0"/>
        <w:spacing w:line="240" w:lineRule="auto"/>
        <w:rPr>
          <w:rFonts w:ascii="IRANSans" w:hAnsi="IRANSans" w:cs="IRANSans"/>
          <w:b/>
          <w:bCs/>
          <w:color w:val="C00000"/>
          <w:sz w:val="28"/>
          <w:szCs w:val="28"/>
          <w:shd w:val="clear" w:color="auto" w:fill="FFFFFF"/>
          <w:rtl/>
          <w:lang w:val="x-none"/>
        </w:rPr>
      </w:pPr>
      <w:r w:rsidRPr="00236620">
        <w:rPr>
          <w:rFonts w:ascii="IRANSans" w:hAnsi="IRANSans" w:cs="IRANSans"/>
          <w:b/>
          <w:bCs/>
          <w:color w:val="C00000"/>
          <w:sz w:val="28"/>
          <w:szCs w:val="28"/>
          <w:shd w:val="clear" w:color="auto" w:fill="FFFFFF"/>
          <w:rtl/>
          <w:lang w:val="x-none"/>
        </w:rPr>
        <w:t>درس خارج فقه استاد سید محمد جواد شبیری</w:t>
      </w:r>
    </w:p>
    <w:p w14:paraId="27186568" w14:textId="6C85C270" w:rsidR="00C91EB6" w:rsidRPr="00FC3AC1" w:rsidRDefault="00FC3AC1" w:rsidP="00FC3AC1">
      <w:pPr>
        <w:autoSpaceDE w:val="0"/>
        <w:autoSpaceDN w:val="0"/>
        <w:adjustRightInd w:val="0"/>
        <w:spacing w:line="240" w:lineRule="auto"/>
        <w:rPr>
          <w:rFonts w:ascii="IRANSans" w:hAnsi="IRANSans" w:cs="IRANSans"/>
          <w:b/>
          <w:bCs/>
          <w:color w:val="C00000"/>
          <w:sz w:val="28"/>
          <w:szCs w:val="28"/>
          <w:shd w:val="clear" w:color="auto" w:fill="FFFFFF"/>
          <w:lang w:val="x-none"/>
        </w:rPr>
      </w:pPr>
      <w:r>
        <w:rPr>
          <w:rFonts w:ascii="IRANSans" w:hAnsi="IRANSans" w:cs="IRANSans" w:hint="cs"/>
          <w:b/>
          <w:bCs/>
          <w:color w:val="C00000"/>
          <w:sz w:val="28"/>
          <w:szCs w:val="28"/>
          <w:shd w:val="clear" w:color="auto" w:fill="FFFFFF"/>
          <w:rtl/>
          <w:lang w:val="x-none"/>
        </w:rPr>
        <w:t>1401031</w:t>
      </w:r>
      <w:r>
        <w:rPr>
          <w:rFonts w:ascii="IRANSans" w:hAnsi="IRANSans" w:cs="IRANSans" w:hint="cs"/>
          <w:b/>
          <w:bCs/>
          <w:color w:val="C00000"/>
          <w:sz w:val="28"/>
          <w:szCs w:val="28"/>
          <w:shd w:val="clear" w:color="auto" w:fill="FFFFFF"/>
          <w:rtl/>
          <w:lang w:val="x-none"/>
        </w:rPr>
        <w:t>0</w:t>
      </w:r>
      <w:bookmarkStart w:id="0" w:name="_GoBack"/>
      <w:bookmarkEnd w:id="0"/>
      <w:r w:rsidR="002B03D9">
        <w:rPr>
          <w:rFonts w:cs="B Titr"/>
          <w:noProof/>
          <w:webHidden/>
          <w:color w:val="632423" w:themeColor="accent2" w:themeShade="80"/>
          <w:szCs w:val="24"/>
          <w:rtl/>
        </w:rPr>
        <w:fldChar w:fldCharType="begin"/>
      </w:r>
      <w:r w:rsidR="002B03D9">
        <w:rPr>
          <w:noProof/>
          <w:webHidden/>
          <w:rtl/>
        </w:rPr>
        <w:instrText xml:space="preserve"> </w:instrText>
      </w:r>
      <w:r w:rsidR="002B03D9">
        <w:rPr>
          <w:noProof/>
          <w:webHidden/>
        </w:rPr>
        <w:instrText>TOC</w:instrText>
      </w:r>
      <w:r w:rsidR="002B03D9">
        <w:rPr>
          <w:noProof/>
          <w:webHidden/>
          <w:rtl/>
        </w:rPr>
        <w:instrText xml:space="preserve"> \</w:instrText>
      </w:r>
      <w:r w:rsidR="002B03D9">
        <w:rPr>
          <w:noProof/>
          <w:webHidden/>
        </w:rPr>
        <w:instrText>o "</w:instrText>
      </w:r>
      <w:r w:rsidR="002B03D9">
        <w:rPr>
          <w:noProof/>
          <w:webHidden/>
          <w:rtl/>
        </w:rPr>
        <w:instrText>1-9</w:instrText>
      </w:r>
      <w:r w:rsidR="002B03D9">
        <w:rPr>
          <w:noProof/>
          <w:webHidden/>
        </w:rPr>
        <w:instrText>" \h \z \u</w:instrText>
      </w:r>
      <w:r w:rsidR="002B03D9">
        <w:rPr>
          <w:noProof/>
          <w:webHidden/>
          <w:rtl/>
        </w:rPr>
        <w:instrText xml:space="preserve"> </w:instrText>
      </w:r>
      <w:r w:rsidR="002B03D9">
        <w:rPr>
          <w:rFonts w:cs="B Titr"/>
          <w:noProof/>
          <w:webHidden/>
          <w:color w:val="632423" w:themeColor="accent2" w:themeShade="80"/>
          <w:szCs w:val="24"/>
          <w:rtl/>
        </w:rPr>
        <w:fldChar w:fldCharType="separate"/>
      </w:r>
      <w:r w:rsidR="002B03D9">
        <w:rPr>
          <w:noProof/>
          <w:webHidden/>
          <w:rtl/>
        </w:rPr>
        <w:fldChar w:fldCharType="end"/>
      </w:r>
    </w:p>
    <w:p w14:paraId="6DF702F2" w14:textId="22A3855B" w:rsidR="00F343FB" w:rsidRPr="00D31761" w:rsidRDefault="00F842AD" w:rsidP="00654DB0">
      <w:r w:rsidRPr="009C66D5">
        <w:rPr>
          <w:rStyle w:val="Emphasis"/>
          <w:rFonts w:hint="cs"/>
          <w:b/>
          <w:bCs w:val="0"/>
          <w:rtl/>
        </w:rPr>
        <w:t>موضوع</w:t>
      </w:r>
      <w:r w:rsidRPr="009C66D5">
        <w:rPr>
          <w:rStyle w:val="Emphasis"/>
          <w:rFonts w:hint="cs"/>
          <w:rtl/>
        </w:rPr>
        <w:t>:</w:t>
      </w:r>
      <w:r w:rsidR="00A6366F" w:rsidRPr="00D31761">
        <w:rPr>
          <w:rFonts w:hint="cs"/>
          <w:rtl/>
        </w:rPr>
        <w:t xml:space="preserve"> </w:t>
      </w:r>
      <w:bookmarkStart w:id="1" w:name="BokSabj2_d"/>
      <w:bookmarkEnd w:id="1"/>
      <w:r w:rsidR="00A37D61" w:rsidRPr="00D31761">
        <w:rPr>
          <w:rFonts w:hint="cs"/>
          <w:rtl/>
        </w:rPr>
        <w:t>زکات مال التجاره</w:t>
      </w:r>
      <w:r w:rsidR="00025B70" w:rsidRPr="00D31761">
        <w:rPr>
          <w:rFonts w:hint="cs"/>
          <w:rtl/>
        </w:rPr>
        <w:t xml:space="preserve"> </w:t>
      </w:r>
      <w:r w:rsidR="00386C11" w:rsidRPr="00D31761">
        <w:rPr>
          <w:rFonts w:hint="cs"/>
          <w:rtl/>
        </w:rPr>
        <w:t>/</w:t>
      </w:r>
      <w:bookmarkStart w:id="2" w:name="BokSabj_d"/>
      <w:bookmarkEnd w:id="2"/>
      <w:r w:rsidR="009F3925" w:rsidRPr="00D31761">
        <w:rPr>
          <w:rtl/>
        </w:rPr>
        <w:t>من تجب عل</w:t>
      </w:r>
      <w:r w:rsidR="009F3925" w:rsidRPr="00D31761">
        <w:rPr>
          <w:rFonts w:hint="cs"/>
          <w:rtl/>
        </w:rPr>
        <w:t>ی</w:t>
      </w:r>
      <w:r w:rsidR="009F3925" w:rsidRPr="00D31761">
        <w:rPr>
          <w:rFonts w:hint="eastAsia"/>
          <w:rtl/>
        </w:rPr>
        <w:t>ه</w:t>
      </w:r>
      <w:r w:rsidR="009F3925" w:rsidRPr="00D31761">
        <w:rPr>
          <w:rtl/>
        </w:rPr>
        <w:t xml:space="preserve"> الزکاه</w:t>
      </w:r>
      <w:r w:rsidR="00386C11" w:rsidRPr="00D31761">
        <w:rPr>
          <w:rFonts w:hint="cs"/>
          <w:rtl/>
        </w:rPr>
        <w:t xml:space="preserve"> /</w:t>
      </w:r>
      <w:bookmarkStart w:id="3" w:name="Bokkolli"/>
      <w:bookmarkEnd w:id="3"/>
      <w:r w:rsidR="009F3925" w:rsidRPr="00D31761">
        <w:rPr>
          <w:rtl/>
        </w:rPr>
        <w:t>زکات</w:t>
      </w:r>
      <w:r w:rsidR="001B6799" w:rsidRPr="00D31761">
        <w:rPr>
          <w:rFonts w:hint="cs"/>
          <w:rtl/>
        </w:rPr>
        <w:t xml:space="preserve"> </w:t>
      </w:r>
    </w:p>
    <w:p w14:paraId="3838F8A6" w14:textId="77777777" w:rsidR="008F5B4D" w:rsidRPr="009C66D5" w:rsidRDefault="008F5B4D" w:rsidP="00654DB0">
      <w:pPr>
        <w:rPr>
          <w:rStyle w:val="Emphasis"/>
          <w:b/>
          <w:bCs w:val="0"/>
          <w:rtl/>
        </w:rPr>
      </w:pPr>
      <w:r w:rsidRPr="009C66D5">
        <w:rPr>
          <w:rStyle w:val="Emphasis"/>
          <w:rFonts w:hint="cs"/>
          <w:b/>
          <w:bCs w:val="0"/>
          <w:rtl/>
        </w:rPr>
        <w:t>خلاصه مباحث گذشته:</w:t>
      </w:r>
    </w:p>
    <w:p w14:paraId="5F74A3E9" w14:textId="0C499115" w:rsidR="005F7F6C" w:rsidRPr="00D31761" w:rsidRDefault="00E75275" w:rsidP="005A5CFE">
      <w:pPr>
        <w:pBdr>
          <w:bottom w:val="double" w:sz="6" w:space="1" w:color="auto"/>
        </w:pBdr>
        <w:rPr>
          <w:rtl/>
        </w:rPr>
      </w:pPr>
      <w:r>
        <w:rPr>
          <w:rFonts w:hint="cs"/>
          <w:rtl/>
        </w:rPr>
        <w:t>دسته بندی روایت‌های مرتبط با زکات مال التجاره صبی، بیان شد. دو دسته روایت دیگر در این جلسه مطرح می‌شود</w:t>
      </w:r>
      <w:r w:rsidR="00076928">
        <w:rPr>
          <w:rFonts w:hint="cs"/>
          <w:rtl/>
        </w:rPr>
        <w:t>.</w:t>
      </w:r>
    </w:p>
    <w:p w14:paraId="4A5ADAAD" w14:textId="77777777" w:rsidR="00E75275" w:rsidRDefault="00E75275" w:rsidP="00E75275">
      <w:pPr>
        <w:pStyle w:val="Heading1"/>
        <w:rPr>
          <w:rtl/>
        </w:rPr>
      </w:pPr>
      <w:bookmarkStart w:id="4" w:name="_Toc106148099"/>
      <w:bookmarkStart w:id="5" w:name="_Toc105569469"/>
      <w:r>
        <w:rPr>
          <w:rFonts w:hint="cs"/>
          <w:rtl/>
        </w:rPr>
        <w:t>دسته سیزدهم: ثبوت زکات در مال التجاره یتیم حتی در هشت ماه</w:t>
      </w:r>
      <w:bookmarkEnd w:id="4"/>
    </w:p>
    <w:p w14:paraId="1A83E9B4" w14:textId="77777777" w:rsidR="00E75275" w:rsidRDefault="00E75275" w:rsidP="00E75275">
      <w:pPr>
        <w:rPr>
          <w:rtl/>
        </w:rPr>
      </w:pPr>
      <w:r>
        <w:rPr>
          <w:rFonts w:hint="cs"/>
          <w:rtl/>
        </w:rPr>
        <w:t>ابوالعطار خیاط نقل می‌کند:</w:t>
      </w:r>
    </w:p>
    <w:p w14:paraId="51A96379" w14:textId="77777777" w:rsidR="00E75275" w:rsidRPr="005C0690" w:rsidRDefault="00E75275" w:rsidP="00E75275">
      <w:pPr>
        <w:pStyle w:val="a6"/>
        <w:rPr>
          <w:rtl/>
        </w:rPr>
      </w:pPr>
      <w:r w:rsidRPr="005C0690">
        <w:rPr>
          <w:rFonts w:hint="cs"/>
          <w:rtl/>
        </w:rPr>
        <w:t>مُحَمَّدُ بْنُ إِسْمَاعِيلَ عَنِ الْفَضْلِ بْنِ شَاذَانَ وَ أَحْمَدُ بْنُ إِدْرِيسَ عَنْ مُحَمَّدِ بْنِ عَبْدِ</w:t>
      </w:r>
      <w:r w:rsidRPr="005C0690">
        <w:rPr>
          <w:rFonts w:hint="cs"/>
        </w:rPr>
        <w:t>‌</w:t>
      </w:r>
      <w:r>
        <w:rPr>
          <w:rFonts w:hint="cs"/>
          <w:rtl/>
        </w:rPr>
        <w:t xml:space="preserve"> </w:t>
      </w:r>
      <w:r w:rsidRPr="005C0690">
        <w:rPr>
          <w:rFonts w:hint="cs"/>
          <w:rtl/>
        </w:rPr>
        <w:t>الْجَبَّارِ جَمِيعاً عَنْ صَفْوَانَ بْنِ يَحْيَى عَنْ إِسْحَاقَ بْنِ عَمَّارٍ عَنْ أَبِي الْعُطَارِدِ الْخَيَّاطِ قَالَ: قُلْتُ لِأَبِي عَبْدِ اللَّهِ ع مَالُ الْيَتِيمِ يَكُونُ عِنْدِي فَأَتَّجِرُ بِهِ فَقَالَ إِذَا حَرَّكْتَهُ فَعَلَيْكَ زَكَاتُهُ قَالَ قُلْتُ فَإِنِّي أُحَرِّكُهُ ثَمَانِيَةَ أَشْهُرٍ وَ أَدَعُهُ أَرْبَعَةَ أَشْهُرٍ قَالَ عَلَيْكَ زَكَاتُهُ</w:t>
      </w:r>
      <w:r>
        <w:rPr>
          <w:rStyle w:val="FootnoteReference"/>
          <w:rtl/>
        </w:rPr>
        <w:footnoteReference w:id="1"/>
      </w:r>
      <w:r w:rsidRPr="005C0690">
        <w:rPr>
          <w:rFonts w:hint="cs"/>
          <w:rtl/>
        </w:rPr>
        <w:t>.</w:t>
      </w:r>
    </w:p>
    <w:p w14:paraId="6A5A04ED" w14:textId="77777777" w:rsidR="00E75275" w:rsidRDefault="00E75275" w:rsidP="00E75275">
      <w:pPr>
        <w:rPr>
          <w:rtl/>
        </w:rPr>
      </w:pPr>
      <w:r>
        <w:rPr>
          <w:rFonts w:hint="cs"/>
          <w:rtl/>
        </w:rPr>
        <w:t>در این روایت می‌فرمایند مال یتیم زکات دارد. مضمون جدید این روایت آن است که لازم نیست با مال یتیم در کل سال تجارت شود و اگر هشت ماه باشد نیز کافی است. روایت ابوالعطار خیاط از جهت سندی و رجالی معتبر نیست ولی مضمون روایتش مطابق قاعده است.</w:t>
      </w:r>
    </w:p>
    <w:p w14:paraId="1A7BEE7D" w14:textId="77777777" w:rsidR="00E75275" w:rsidRDefault="00E75275" w:rsidP="00E75275">
      <w:pPr>
        <w:pStyle w:val="Heading1"/>
        <w:rPr>
          <w:rtl/>
        </w:rPr>
      </w:pPr>
      <w:bookmarkStart w:id="6" w:name="_Toc106148100"/>
      <w:r>
        <w:rPr>
          <w:rFonts w:hint="cs"/>
          <w:rtl/>
        </w:rPr>
        <w:lastRenderedPageBreak/>
        <w:t>دسته چهاردهم: ثبوت زکات در مال التجاره مجنون</w:t>
      </w:r>
      <w:bookmarkEnd w:id="6"/>
    </w:p>
    <w:p w14:paraId="1F78E497" w14:textId="77777777" w:rsidR="00E75275" w:rsidRDefault="00E75275" w:rsidP="00E75275">
      <w:pPr>
        <w:rPr>
          <w:rtl/>
        </w:rPr>
      </w:pPr>
      <w:r>
        <w:rPr>
          <w:rFonts w:hint="cs"/>
          <w:rtl/>
        </w:rPr>
        <w:t>برخی دیگر از روایات، در مال التجاره مجنون زکات را ثابت دانسته‌اند مثل صحیحه عبدالرحمن بن حجاج</w:t>
      </w:r>
      <w:r>
        <w:rPr>
          <w:rStyle w:val="FootnoteReference"/>
          <w:rtl/>
        </w:rPr>
        <w:footnoteReference w:id="2"/>
      </w:r>
      <w:r>
        <w:rPr>
          <w:rFonts w:hint="cs"/>
          <w:rtl/>
        </w:rPr>
        <w:t xml:space="preserve"> و روایت موسی بن بکر</w:t>
      </w:r>
      <w:r>
        <w:rPr>
          <w:rStyle w:val="FootnoteReference"/>
          <w:rtl/>
        </w:rPr>
        <w:footnoteReference w:id="3"/>
      </w:r>
      <w:r>
        <w:rPr>
          <w:rFonts w:hint="cs"/>
          <w:rtl/>
        </w:rPr>
        <w:t xml:space="preserve"> که فی الجمله مال مجنون را متعلق زکات شمرده‌اند.</w:t>
      </w:r>
    </w:p>
    <w:p w14:paraId="7BE62AA7" w14:textId="77777777" w:rsidR="00E75275" w:rsidRDefault="00E75275" w:rsidP="00E75275">
      <w:pPr>
        <w:rPr>
          <w:rtl/>
        </w:rPr>
      </w:pPr>
      <w:r>
        <w:rPr>
          <w:rFonts w:hint="cs"/>
          <w:rtl/>
        </w:rPr>
        <w:t>سؤال: عنوان کلی این چهارده دسته از روایات چیست؟</w:t>
      </w:r>
    </w:p>
    <w:p w14:paraId="47FF328B" w14:textId="77777777" w:rsidR="00E75275" w:rsidRDefault="00E75275" w:rsidP="00E75275">
      <w:pPr>
        <w:rPr>
          <w:rtl/>
        </w:rPr>
      </w:pPr>
      <w:r>
        <w:rPr>
          <w:rFonts w:hint="cs"/>
          <w:rtl/>
        </w:rPr>
        <w:t>پاسخ: مفاد روایاتی که در مورد تجارت با مال طفل ـ اعم از یتیم و غیر یتیم ـ یا مجنون هستند.</w:t>
      </w:r>
    </w:p>
    <w:p w14:paraId="2442CB4D" w14:textId="77777777" w:rsidR="00E75275" w:rsidRDefault="00E75275" w:rsidP="00E75275">
      <w:pPr>
        <w:pStyle w:val="Heading1"/>
        <w:rPr>
          <w:rtl/>
        </w:rPr>
      </w:pPr>
      <w:bookmarkStart w:id="7" w:name="_Toc106148101"/>
      <w:r>
        <w:rPr>
          <w:rFonts w:hint="cs"/>
          <w:rtl/>
        </w:rPr>
        <w:t>روایت‌های دیگر</w:t>
      </w:r>
      <w:bookmarkEnd w:id="7"/>
    </w:p>
    <w:p w14:paraId="317E036B" w14:textId="77777777" w:rsidR="00E75275" w:rsidRDefault="00E75275" w:rsidP="00E75275">
      <w:pPr>
        <w:rPr>
          <w:rtl/>
        </w:rPr>
      </w:pPr>
      <w:r>
        <w:rPr>
          <w:rFonts w:hint="cs"/>
          <w:rtl/>
        </w:rPr>
        <w:t>سه دسته روایت‌های دیگر در ضمن بحث‌های سابق اشاره شد که مرتبط با مطالب است:</w:t>
      </w:r>
    </w:p>
    <w:p w14:paraId="4A55ED6C" w14:textId="77777777" w:rsidR="00E75275" w:rsidRPr="00F837EE" w:rsidRDefault="00E75275" w:rsidP="00E75275">
      <w:pPr>
        <w:pStyle w:val="ListParagraph"/>
        <w:numPr>
          <w:ilvl w:val="0"/>
          <w:numId w:val="12"/>
        </w:numPr>
        <w:spacing w:after="160" w:line="259" w:lineRule="auto"/>
        <w:rPr>
          <w:rFonts w:cs="IRLotus"/>
          <w:rtl/>
        </w:rPr>
      </w:pPr>
      <w:r w:rsidRPr="00F837EE">
        <w:rPr>
          <w:rFonts w:cs="IRLotus"/>
          <w:rtl/>
        </w:rPr>
        <w:t>روایت اقتراض ودعیّ از حبیب خثعمی</w:t>
      </w:r>
      <w:r w:rsidRPr="00F837EE">
        <w:rPr>
          <w:rStyle w:val="FootnoteReference"/>
          <w:rFonts w:cs="IRLotus"/>
          <w:rtl/>
        </w:rPr>
        <w:footnoteReference w:id="4"/>
      </w:r>
      <w:r w:rsidRPr="00F837EE">
        <w:rPr>
          <w:rFonts w:cs="IRLotus"/>
          <w:rtl/>
        </w:rPr>
        <w:t xml:space="preserve"> و علی بن جعفر</w:t>
      </w:r>
      <w:r w:rsidRPr="00F837EE">
        <w:rPr>
          <w:rStyle w:val="FootnoteReference"/>
          <w:rFonts w:cs="IRLotus"/>
          <w:rtl/>
        </w:rPr>
        <w:footnoteReference w:id="5"/>
      </w:r>
      <w:r w:rsidRPr="00F837EE">
        <w:rPr>
          <w:rFonts w:cs="IRLotus"/>
          <w:rtl/>
        </w:rPr>
        <w:t xml:space="preserve"> به تناسب مطرح شد.</w:t>
      </w:r>
    </w:p>
    <w:p w14:paraId="5D8221FF" w14:textId="77777777" w:rsidR="00E75275" w:rsidRPr="00F837EE" w:rsidRDefault="00E75275" w:rsidP="00E75275">
      <w:pPr>
        <w:pStyle w:val="ListParagraph"/>
        <w:numPr>
          <w:ilvl w:val="0"/>
          <w:numId w:val="12"/>
        </w:numPr>
        <w:spacing w:after="160" w:line="259" w:lineRule="auto"/>
        <w:rPr>
          <w:rFonts w:cs="IRLotus"/>
        </w:rPr>
      </w:pPr>
      <w:r w:rsidRPr="00F837EE">
        <w:rPr>
          <w:rFonts w:cs="IRLotus"/>
          <w:rtl/>
        </w:rPr>
        <w:t>روایت‌هایی که بیان می‌کردند پدر می‌تواند از مال فرزندش بردارد</w:t>
      </w:r>
      <w:r w:rsidRPr="00F837EE">
        <w:rPr>
          <w:rStyle w:val="FootnoteReference"/>
          <w:rFonts w:cs="IRLotus"/>
          <w:rtl/>
        </w:rPr>
        <w:footnoteReference w:id="6"/>
      </w:r>
      <w:r w:rsidRPr="00F837EE">
        <w:rPr>
          <w:rFonts w:cs="IRLotus"/>
          <w:rtl/>
        </w:rPr>
        <w:t xml:space="preserve">. </w:t>
      </w:r>
    </w:p>
    <w:p w14:paraId="645F24B4" w14:textId="77777777" w:rsidR="00E75275" w:rsidRPr="00F837EE" w:rsidRDefault="00E75275" w:rsidP="00E75275">
      <w:pPr>
        <w:pStyle w:val="ListParagraph"/>
        <w:numPr>
          <w:ilvl w:val="0"/>
          <w:numId w:val="12"/>
        </w:numPr>
        <w:spacing w:after="160" w:line="259" w:lineRule="auto"/>
        <w:rPr>
          <w:rFonts w:cs="IRLotus"/>
        </w:rPr>
      </w:pPr>
      <w:r w:rsidRPr="00F837EE">
        <w:rPr>
          <w:rFonts w:cs="IRLotus"/>
          <w:rtl/>
        </w:rPr>
        <w:t>روایاتی که جواز اقتراض مادر از مال فرزندش را فرموده‌اند. پدر هم به صورت قرض می‌تواند از مال فرزندش بردارد و هم بدون قرض؛ اما مادر فقط می‌تواند قرض بردارد.</w:t>
      </w:r>
    </w:p>
    <w:p w14:paraId="310FEAE7" w14:textId="77777777" w:rsidR="00E75275" w:rsidRDefault="00E75275" w:rsidP="00E75275">
      <w:pPr>
        <w:rPr>
          <w:rtl/>
        </w:rPr>
      </w:pPr>
      <w:r>
        <w:rPr>
          <w:rFonts w:hint="cs"/>
          <w:rtl/>
        </w:rPr>
        <w:t>این روایات ارتباط فی الجمله با بعضی از روایات بحث زکات طفل دارد.</w:t>
      </w:r>
    </w:p>
    <w:p w14:paraId="4AB36DC5" w14:textId="77777777" w:rsidR="00E75275" w:rsidRDefault="00E75275" w:rsidP="00E75275">
      <w:pPr>
        <w:pStyle w:val="Heading1"/>
        <w:rPr>
          <w:rtl/>
        </w:rPr>
      </w:pPr>
      <w:bookmarkStart w:id="8" w:name="_Toc106148102"/>
      <w:r>
        <w:rPr>
          <w:rFonts w:hint="cs"/>
          <w:rtl/>
        </w:rPr>
        <w:t>جواز اقتراض ودعیّ و استناد به روایت‌های دیگر</w:t>
      </w:r>
      <w:bookmarkEnd w:id="8"/>
    </w:p>
    <w:p w14:paraId="6086EDD7" w14:textId="77777777" w:rsidR="00E75275" w:rsidRDefault="00E75275" w:rsidP="00E75275">
      <w:pPr>
        <w:rPr>
          <w:rtl/>
        </w:rPr>
      </w:pPr>
      <w:r>
        <w:rPr>
          <w:rFonts w:hint="cs"/>
          <w:rtl/>
        </w:rPr>
        <w:t>در مورد اقتراض ودعیّ  ـ علاوه بر دو روایتی که بیان شد ـ شاید بتوان به بعضی روایت‌های دیگر مثل صحیحه «احمد بن محمد بن ابی نصر» استناد نمود:</w:t>
      </w:r>
    </w:p>
    <w:p w14:paraId="335F31B0" w14:textId="77777777" w:rsidR="00E75275" w:rsidRDefault="00E75275" w:rsidP="00E75275">
      <w:pPr>
        <w:pStyle w:val="a6"/>
        <w:rPr>
          <w:rtl/>
        </w:rPr>
      </w:pPr>
      <w:r w:rsidRPr="003C1A97">
        <w:rPr>
          <w:rtl/>
        </w:rPr>
        <w:lastRenderedPageBreak/>
        <w:t>عِدَّةٌ مِنْ أَصْحَابِنَا عَنْ سَهْلِ بْنِ زِيَادٍ عَنْ أَحْمَدَ بْنِ مُحَمَّدِ بْنِ أَبِي نَصْرٍ قَالَ</w:t>
      </w:r>
      <w:r>
        <w:rPr>
          <w:rFonts w:hint="cs"/>
          <w:rtl/>
        </w:rPr>
        <w:t xml:space="preserve">: </w:t>
      </w:r>
      <w:r w:rsidRPr="003C1A97">
        <w:rPr>
          <w:rtl/>
        </w:rPr>
        <w:t>سَأَلْتُ أَبَا الْحَسَنِ ع عَنِ الرَّجُلِ يَكُونُ فِي يَدِهِ مَالٌ لِأَيْتَامٍ فَيَحْتَاجُ إِلَيْهِ فَيَمُدُّ يَدَهُ فَيَأْخُذُهُ وَ يَنْوِي أَنْ يَرُدَّهُ فَقَالَ لَا يَنْبَغِي لَهُ أَنْ يَأْكُلَ إِلَّا الْقَصْدَ لَا يُسْرِفُ</w:t>
      </w:r>
      <w:r>
        <w:rPr>
          <w:rFonts w:hint="cs"/>
          <w:rtl/>
        </w:rPr>
        <w:t xml:space="preserve"> </w:t>
      </w:r>
      <w:r w:rsidRPr="003C1A97">
        <w:rPr>
          <w:rtl/>
        </w:rPr>
        <w:t>فَإِنْ كَانَ مِنْ نِيَّتِهِ أَنْ لَا يَرُدَّهُ عَلَيْهِمْ فَهُوَ بِالْمَنْزِلِ الَّذِي قَالَ اللَّهُ عَزَّ وَ جَلَّ</w:t>
      </w:r>
      <w:r w:rsidRPr="003C1A97">
        <w:t xml:space="preserve">- </w:t>
      </w:r>
      <w:r w:rsidRPr="003C1A97">
        <w:rPr>
          <w:rtl/>
        </w:rPr>
        <w:t>إِنَّ الَّذِينَ يَأْكُلُونَ أَمْوالَ الْيَتامى‌ ظُلْماً</w:t>
      </w:r>
      <w:r>
        <w:rPr>
          <w:rStyle w:val="FootnoteReference"/>
          <w:rtl/>
        </w:rPr>
        <w:footnoteReference w:id="7"/>
      </w:r>
      <w:r>
        <w:rPr>
          <w:rFonts w:hint="cs"/>
          <w:rtl/>
        </w:rPr>
        <w:t>.</w:t>
      </w:r>
    </w:p>
    <w:p w14:paraId="66020BF2" w14:textId="77777777" w:rsidR="00E75275" w:rsidRDefault="00E75275" w:rsidP="00E75275">
      <w:pPr>
        <w:rPr>
          <w:rtl/>
        </w:rPr>
      </w:pPr>
      <w:r>
        <w:rPr>
          <w:rFonts w:hint="cs"/>
          <w:rtl/>
        </w:rPr>
        <w:t>گفته شد «کسی که مالی از ایتام در دستش باشد» اختصاص به ولیّ و وصیّ ندارد. شامل مواردی می‌شود که شخصی مال یتیم را به عنوان امانت در اختیار داشته و ولایت بر حفظ آن مال دارد. اطلاق دلیل، شامل این موارد نیز می‌شود.</w:t>
      </w:r>
    </w:p>
    <w:p w14:paraId="7791290A" w14:textId="77777777" w:rsidR="00E75275" w:rsidRDefault="00E75275" w:rsidP="00E75275">
      <w:pPr>
        <w:rPr>
          <w:rtl/>
        </w:rPr>
      </w:pPr>
      <w:r>
        <w:rPr>
          <w:rFonts w:hint="cs"/>
          <w:rtl/>
        </w:rPr>
        <w:t>اما این روایت، در مورد خصوص ودعیّ که مال یتیم را در اختیار داشته باشد، اجازه داده‌اند. همچنین فرموده‌اند، در صورت احتیاج می‌تواند مال یتیم را بردارد.</w:t>
      </w:r>
    </w:p>
    <w:p w14:paraId="16E05494" w14:textId="77777777" w:rsidR="00E75275" w:rsidRDefault="00E75275" w:rsidP="00E75275">
      <w:pPr>
        <w:rPr>
          <w:rtl/>
        </w:rPr>
      </w:pPr>
      <w:r>
        <w:rPr>
          <w:rFonts w:hint="cs"/>
          <w:rtl/>
        </w:rPr>
        <w:t>روایت دیگر از «حبیب خثعمی» نقل شده است:</w:t>
      </w:r>
    </w:p>
    <w:p w14:paraId="371973A1" w14:textId="77777777" w:rsidR="00E75275" w:rsidRDefault="00E75275" w:rsidP="00E75275">
      <w:pPr>
        <w:pStyle w:val="a6"/>
        <w:rPr>
          <w:rtl/>
        </w:rPr>
      </w:pPr>
      <w:r w:rsidRPr="00A67BD9">
        <w:rPr>
          <w:rtl/>
        </w:rPr>
        <w:t xml:space="preserve">رَوَى اِبْنُ‌ أَبِي عُمَيْرٍ عَنْ‌ حَبِيبٍ‌ الْخَثْعَمِيِّ‌ عَنْ‌ أَبِي عَبْدِ اللَّهِ‌ عَلَيْهِ‌ السَّلاَمُ‌ قَالَ‌: قُلْتُ‌ لَهُ‌ الرَّجُلُ‌ يَكُونُ‌ عِنْدَهُ‌ الْمَالُ‌ وَدِيعَةً‌ يَأْخُذُ مِنْهُ‌ بِغَيْرِ إِذْنِ‌ صَاحِبِهِ‌ قَالَ‌ «لاَ يَأْخُذْ إِلاَّ أَنْ‌ يَكُونَ‌ لَهُ‌ </w:t>
      </w:r>
      <w:r>
        <w:rPr>
          <w:rFonts w:hint="cs"/>
          <w:rtl/>
        </w:rPr>
        <w:t>فداء</w:t>
      </w:r>
      <w:r w:rsidRPr="00A67BD9">
        <w:rPr>
          <w:rtl/>
        </w:rPr>
        <w:t>‌» وَ قَالَ‌ قُلْتُ‌ أَ رَأَيْتَ‌ إِنْ‌ وَجَدَ مَنْ‌ يَضْمَنُهُ‌ وَ لَمْ‌ يَكُنْ‌ لَهُ‌ وَفَاءٌ‌ وَ أَشْهَدَ عَلَى نَفْسِهِ‌ الَّذِي يَضْمَنُهُ‌ يَأْخُذُ مِنْهُ‌ قَالَ‌ «نَعَمْ‌»</w:t>
      </w:r>
      <w:r w:rsidRPr="00A67BD9">
        <w:rPr>
          <w:vertAlign w:val="superscript"/>
          <w:rtl/>
        </w:rPr>
        <w:footnoteReference w:id="8"/>
      </w:r>
      <w:r>
        <w:rPr>
          <w:rFonts w:hint="cs"/>
          <w:rtl/>
        </w:rPr>
        <w:t>.</w:t>
      </w:r>
    </w:p>
    <w:p w14:paraId="6675B45D" w14:textId="77777777" w:rsidR="00E75275" w:rsidRDefault="00E75275" w:rsidP="00E75275">
      <w:pPr>
        <w:rPr>
          <w:rtl/>
        </w:rPr>
      </w:pPr>
      <w:r>
        <w:rPr>
          <w:rFonts w:hint="cs"/>
          <w:rtl/>
        </w:rPr>
        <w:t>در این روایت برای برداشت از مال ودیعه، شرط کرده‌اند «فداء» داشته باشد. در غیر این صورت، لااقل کسی را داشته باشد که بتواند ضمانتش را بکند.</w:t>
      </w:r>
    </w:p>
    <w:p w14:paraId="4C953B8F" w14:textId="77777777" w:rsidR="00E75275" w:rsidRDefault="00E75275" w:rsidP="00E75275">
      <w:pPr>
        <w:rPr>
          <w:rtl/>
        </w:rPr>
      </w:pPr>
      <w:r>
        <w:rPr>
          <w:rFonts w:hint="cs"/>
          <w:rtl/>
        </w:rPr>
        <w:t>اما روایت «احمد بن محمد بن ابی نصر» چنین شرطی ندارد که برای برداشت از مال ودیعه، فداء داشته باشد. حتی در این روایت فرض کرده‌اند که احتیاج دارد (فیحتاج الیه) و فرد ظاهرش آن است که فداء ندارد.</w:t>
      </w:r>
    </w:p>
    <w:p w14:paraId="141ACCBF" w14:textId="77777777" w:rsidR="00E75275" w:rsidRDefault="00E75275" w:rsidP="00E75275">
      <w:pPr>
        <w:pStyle w:val="Heading2"/>
        <w:rPr>
          <w:rtl/>
        </w:rPr>
      </w:pPr>
      <w:bookmarkStart w:id="9" w:name="_Toc106148103"/>
      <w:r>
        <w:rPr>
          <w:rFonts w:hint="cs"/>
          <w:rtl/>
        </w:rPr>
        <w:t>جمع بین روایت «احمد بن محمد بن ابی نصر» و «حبیب خثعمی»</w:t>
      </w:r>
      <w:bookmarkEnd w:id="9"/>
    </w:p>
    <w:p w14:paraId="632D6F29" w14:textId="77777777" w:rsidR="00E75275" w:rsidRDefault="00E75275" w:rsidP="00E75275">
      <w:pPr>
        <w:rPr>
          <w:rtl/>
        </w:rPr>
      </w:pPr>
      <w:r>
        <w:rPr>
          <w:rFonts w:hint="cs"/>
          <w:rtl/>
        </w:rPr>
        <w:t>چه طور باید بین روایت «احمد بن محمد بن ابی نصر» و روایت «حبیب خثعمی» و «علی بن جعفر» جمع بشود؟ از روایت «علی بن جعفر» و «حبیب خثعمی» استفاده می‌شود در صورتی می‌تواند از ودیعه بردارد که مال داشته باشد.</w:t>
      </w:r>
    </w:p>
    <w:p w14:paraId="610E6570" w14:textId="77777777" w:rsidR="00E75275" w:rsidRDefault="00E75275" w:rsidP="00E75275">
      <w:pPr>
        <w:rPr>
          <w:rtl/>
        </w:rPr>
      </w:pPr>
      <w:r>
        <w:rPr>
          <w:rFonts w:hint="cs"/>
          <w:rtl/>
        </w:rPr>
        <w:t>به نظر می‌رسد در مجموع از روایت‌های ودیعه استفاده می‌شود که باید زمینه از بین رفتن مال ودعیّ نباشد. اگر هم مال ندارد، فرد دیگری تضمنیش کند. این‌ها مقدمه است برای آنکه زمینه از بین رفتن مال ودعی نباشد. بنابراین اگر مال ندارد، باید توانایی تهیه مال را داشته باشد. ولو فرض نکرده‌اند که مال دارد ولی باید دانست که عبارت «ینوی ان یرده» به معنایِ نیتِ صِرف نیست. در جایی می‌تواند نیت کند که به صورت متعارف، زمینه پرداختش را داشته باشد. پس اگر مال را مصرف کند، می‌تواند جبران کند و تلف نمی‌شود.</w:t>
      </w:r>
    </w:p>
    <w:p w14:paraId="005668F6" w14:textId="77777777" w:rsidR="00E75275" w:rsidRDefault="00E75275" w:rsidP="00E75275">
      <w:pPr>
        <w:rPr>
          <w:rtl/>
        </w:rPr>
      </w:pPr>
      <w:r>
        <w:rPr>
          <w:rFonts w:hint="cs"/>
          <w:rtl/>
        </w:rPr>
        <w:lastRenderedPageBreak/>
        <w:t>شاید جمع بین این دو دسته روایت چنین است که زمینه عقلائی تلف نشدن مال یتیم؛ وجود داشته باشد. این زمینه عقلائی یا به آن است که مال داشته باشد یا به آن است که کسی تضمینش بکند یا اعم از آن است و شامل جایی می‌شود که خودش آبرو و اعتبار دارد. بنابراین اگر مال نداشته باشد؛ ـ به خاطر اعتبارش ـ زمینه تلف شدن مال یتیم وجود ندارد.</w:t>
      </w:r>
    </w:p>
    <w:p w14:paraId="0E054EBB" w14:textId="77777777" w:rsidR="00E75275" w:rsidRDefault="00E75275" w:rsidP="00E75275">
      <w:pPr>
        <w:rPr>
          <w:rtl/>
        </w:rPr>
      </w:pPr>
      <w:r>
        <w:rPr>
          <w:rFonts w:hint="cs"/>
          <w:rtl/>
        </w:rPr>
        <w:t>به عبارت دیگر می‌توان گفت در روایتی که فرمودند مال‌دار باشد، مثالی است برای آنکه زمینه تلف شدن نباشد. به خصوص آنکه می‌فرماید اگر خودش مال ندارد و فرد دیگری ضامنش می‌شود، کافی است. ممکن است گفته شود این موارد جنبه طریقی دارند و مثال هستند برای تضمینِ مالِ مالک.</w:t>
      </w:r>
    </w:p>
    <w:p w14:paraId="7CAA1999" w14:textId="77777777" w:rsidR="00E75275" w:rsidRDefault="00E75275" w:rsidP="00E75275">
      <w:pPr>
        <w:rPr>
          <w:rtl/>
        </w:rPr>
      </w:pPr>
      <w:r>
        <w:rPr>
          <w:rFonts w:hint="cs"/>
          <w:rtl/>
        </w:rPr>
        <w:t>پس می‌توان گفت این روایت مربوط به جایی است که ـ ولو احتیاج دارد ـ در صورتی می‌تواند مال را بردارد که به صورت متعارف بتواند آن را پرداخت کند. والا اگر نتواند آن را پرداخت کند، حق برداشتن آن را ندارد.</w:t>
      </w:r>
    </w:p>
    <w:p w14:paraId="24A4FD99" w14:textId="77777777" w:rsidR="00E75275" w:rsidRDefault="00E75275" w:rsidP="00E75275">
      <w:pPr>
        <w:rPr>
          <w:rtl/>
        </w:rPr>
      </w:pPr>
      <w:r>
        <w:rPr>
          <w:rFonts w:hint="cs"/>
          <w:rtl/>
        </w:rPr>
        <w:t>باید توجه داشت که یتیم اولویت دارد. اگر شخصی مال نداشته باشد و بتواند از مال یتیم بردارد، به طریق اولی از مال دیگری می‌تواند بردارد.</w:t>
      </w:r>
    </w:p>
    <w:p w14:paraId="68A19BBD" w14:textId="77777777" w:rsidR="00E75275" w:rsidRDefault="00E75275" w:rsidP="00E75275">
      <w:pPr>
        <w:pStyle w:val="Heading2"/>
        <w:rPr>
          <w:rtl/>
        </w:rPr>
      </w:pPr>
      <w:bookmarkStart w:id="10" w:name="_Toc106148104"/>
      <w:r>
        <w:rPr>
          <w:rFonts w:hint="cs"/>
          <w:rtl/>
        </w:rPr>
        <w:t>نیت ادا و اقتراض از ودعیّ</w:t>
      </w:r>
      <w:bookmarkEnd w:id="10"/>
    </w:p>
    <w:p w14:paraId="1AE0949A" w14:textId="77777777" w:rsidR="00E75275" w:rsidRDefault="00E75275" w:rsidP="00E75275">
      <w:pPr>
        <w:rPr>
          <w:rtl/>
        </w:rPr>
      </w:pPr>
      <w:r>
        <w:rPr>
          <w:rFonts w:hint="cs"/>
          <w:rtl/>
        </w:rPr>
        <w:t>در این روایت می‌فرمایند کسی که احتیاج دارد، می‌تواند از مال ایتام، قرض بردارد. به نظر می‌رسد اطلاق آن، غیر ولیّ را نیز شامل می‌شود. در مورد غیر ولیّ، قیدِ مال دار بودن را بیان نکرده‌اند. در روایت ودیعه گفته‌اند به شرط مال داشتن می‌تواند از ودیعه بردارد.</w:t>
      </w:r>
    </w:p>
    <w:p w14:paraId="34B1A3D9" w14:textId="77777777" w:rsidR="00E75275" w:rsidRDefault="00E75275" w:rsidP="00E75275">
      <w:pPr>
        <w:rPr>
          <w:rtl/>
        </w:rPr>
      </w:pPr>
      <w:r>
        <w:rPr>
          <w:rFonts w:hint="cs"/>
          <w:rtl/>
        </w:rPr>
        <w:t xml:space="preserve">یک راه جمع بین این دو آن است که گفته شود مال داشتن خصوصیت نداشته است و آنچه که مهم است آن است که زمینه پرداخت و بازگرداندن مال وجود داشته باشد. بنابراین عبارت «ینوی ان یرده» به معنای آن است که در صورتی می‌تواند نیت برگرداندن بکند؛ که زمینه عرفی پرداخت، برایش وجود داشته باشد. </w:t>
      </w:r>
    </w:p>
    <w:p w14:paraId="1DE795C0" w14:textId="77777777" w:rsidR="00E75275" w:rsidRDefault="00E75275" w:rsidP="00E75275">
      <w:pPr>
        <w:rPr>
          <w:rtl/>
        </w:rPr>
      </w:pPr>
      <w:r>
        <w:rPr>
          <w:rFonts w:hint="cs"/>
          <w:rtl/>
        </w:rPr>
        <w:t>«ینوی»، یعنی نیت بالفعل داشته باشد نه «رجاء». کسی که نمی‌داند مال دارد یا ندارد، نمی‌تواند نیت بالفعل کند. نیت در مورد کسی است که نسبت به خودش مطمئن است. در این روایت، مقسمِ افرادی که می‌توانند اقتراض بکنند، کسی است که پول‌دار است و زمینه پرداخت دارد. مراد از شخصی که نیت دارد، کسی است که مال‌دار باشد و زمینه پرداخت داشته باشد. کسی که مال‌دار است گاهی نیت پرداخت می‌کند و این کار را انجام می‌دهد و گاهی نیت پرداخت ندارد و مال از بین می‌رود. اما کسی که اصلاً مال ندارد، مشخص است که نمی‌تواند نیت برگرداندن بکند.</w:t>
      </w:r>
    </w:p>
    <w:p w14:paraId="58689907" w14:textId="77777777" w:rsidR="00E75275" w:rsidRDefault="00E75275" w:rsidP="00E75275">
      <w:pPr>
        <w:pStyle w:val="Heading2"/>
        <w:rPr>
          <w:rtl/>
        </w:rPr>
      </w:pPr>
      <w:bookmarkStart w:id="11" w:name="_Toc106148105"/>
      <w:r>
        <w:rPr>
          <w:rFonts w:hint="cs"/>
          <w:rtl/>
        </w:rPr>
        <w:t>جمع بین روایت «احمد بن محمد بن ابی نصر» و روایت‌های ودعیّ</w:t>
      </w:r>
      <w:bookmarkEnd w:id="11"/>
    </w:p>
    <w:p w14:paraId="3FC376D0" w14:textId="77777777" w:rsidR="00E75275" w:rsidRDefault="00E75275" w:rsidP="00E75275">
      <w:pPr>
        <w:rPr>
          <w:rtl/>
        </w:rPr>
      </w:pPr>
      <w:r>
        <w:rPr>
          <w:rFonts w:hint="cs"/>
          <w:rtl/>
        </w:rPr>
        <w:t>روایت «احمد بن محمد بن ابی نصر» با روایت ودعیّ دو نحوه جمع دارد. یکی آنکه روایت‌های ودعیّ، مخصص این روایت قرار داده شوند. نتیجه آنکه، شرطِ قرض از ودیعه و مال یتیم آن است که مال داشته باشد. با آنکه احتیاج دارد ولی مال نیز دارد و الان نمی‌تواند مالش را نقد کند (عنده وفاء).</w:t>
      </w:r>
    </w:p>
    <w:p w14:paraId="48B1D829" w14:textId="77777777" w:rsidR="00E75275" w:rsidRDefault="00E75275" w:rsidP="00E75275">
      <w:pPr>
        <w:rPr>
          <w:rtl/>
        </w:rPr>
      </w:pPr>
      <w:r>
        <w:rPr>
          <w:rFonts w:hint="cs"/>
          <w:rtl/>
        </w:rPr>
        <w:t>حمل دیگر آن است که مراد از نیت، کسی است که امکان اداء داشته باشد. کسی مراد است که زمینه عرفی اداء دارد؛ چون تنها در این صورت، نیت ممکن است. روایتی که می‌فرماید: «عنده مال» به همین معناست و از باب مثال است.</w:t>
      </w:r>
    </w:p>
    <w:p w14:paraId="69BE8B7D" w14:textId="77777777" w:rsidR="00E75275" w:rsidRDefault="00E75275" w:rsidP="00E75275">
      <w:pPr>
        <w:rPr>
          <w:rtl/>
        </w:rPr>
      </w:pPr>
      <w:r>
        <w:rPr>
          <w:rFonts w:hint="cs"/>
          <w:rtl/>
        </w:rPr>
        <w:t>به نظر می‌رسد حمل دوم روشن‌تر است به خصوص با توجه به صدر و ذیل روایت که می‌فرماید لازم نیست خودش مال داشته باشد و ممکن است فرد دیگری ضامنش بشود. پس مال داشتن، خصوصیت ندارد و اطمینان عقلائی به وفا، کافی است. می‌توان گفت شخصی که مال ندارد و کسی ضامنش نمی‌شود، نیتِ او به تنهایی کافی نیست. نیت اداء معتبر دانسته شده است، زیرا در این صورت زمینه عقلائی اداء وجود دارد.</w:t>
      </w:r>
    </w:p>
    <w:p w14:paraId="4DFA1825" w14:textId="77777777" w:rsidR="00E75275" w:rsidRDefault="00E75275" w:rsidP="00E75275">
      <w:pPr>
        <w:rPr>
          <w:rtl/>
        </w:rPr>
      </w:pPr>
      <w:r>
        <w:rPr>
          <w:rFonts w:hint="cs"/>
          <w:rtl/>
        </w:rPr>
        <w:t>در نتیجه جمع بین ادله به آن است روایت ودعیّ حمل شود بر آن که در صورتی می‌تواند بردارد که اطمینان عقلائی به بازگرداندن مال وجود داشته باشد و نیت نیز داشته باشد. این جمع در موردن قید مال‌دار بودن است. قید «احتیاج» و عدم آن جداگانه باید بررسی شود.</w:t>
      </w:r>
    </w:p>
    <w:p w14:paraId="0E7D2633" w14:textId="77777777" w:rsidR="00E75275" w:rsidRDefault="00E75275" w:rsidP="00E75275">
      <w:pPr>
        <w:rPr>
          <w:rtl/>
        </w:rPr>
      </w:pPr>
      <w:r>
        <w:rPr>
          <w:rFonts w:hint="cs"/>
          <w:rtl/>
        </w:rPr>
        <w:t>پس این بحث را در دو مرحله باید پیگیری نمود. یک مرحله آن است که کسی که مال یتیم را در اختیار دارد حتماً باید مال داشته باشد تا بتواند از مال یتیم اقتراض کند؟ مرحله دوم آن است که فقط در صورت احتیاج می‌تواند بردارد یا در غیر احتیاج نیز چنین اجازه‌ای دارد؟</w:t>
      </w:r>
    </w:p>
    <w:p w14:paraId="722F3570" w14:textId="77777777" w:rsidR="00E75275" w:rsidRDefault="00E75275" w:rsidP="00E75275">
      <w:pPr>
        <w:pStyle w:val="Heading3"/>
        <w:rPr>
          <w:rtl/>
        </w:rPr>
      </w:pPr>
      <w:bookmarkStart w:id="12" w:name="_Toc106148106"/>
      <w:r>
        <w:rPr>
          <w:rFonts w:hint="cs"/>
          <w:rtl/>
        </w:rPr>
        <w:t>مرحله اول: جمع بین روایات از جهت مال‌دار بودن</w:t>
      </w:r>
      <w:bookmarkEnd w:id="12"/>
    </w:p>
    <w:p w14:paraId="1821EB66" w14:textId="77777777" w:rsidR="00E75275" w:rsidRDefault="00E75275" w:rsidP="00E75275">
      <w:pPr>
        <w:rPr>
          <w:rtl/>
        </w:rPr>
      </w:pPr>
      <w:r>
        <w:rPr>
          <w:rFonts w:hint="cs"/>
          <w:rtl/>
        </w:rPr>
        <w:t xml:space="preserve">پاسخ سؤال اول آن است که نیازی به مال‌دار بودن نیست. همین که اطمینان به اداء وجود داشته باشد کافی است؛ یا به خاطر مال داشتن یا به خاطر تضمین دیگری یا به خاطر آبرو داشتن. </w:t>
      </w:r>
    </w:p>
    <w:p w14:paraId="68505622" w14:textId="77777777" w:rsidR="00E75275" w:rsidRDefault="00E75275" w:rsidP="00E75275">
      <w:pPr>
        <w:rPr>
          <w:rtl/>
        </w:rPr>
      </w:pPr>
      <w:r>
        <w:rPr>
          <w:rFonts w:hint="cs"/>
          <w:rtl/>
        </w:rPr>
        <w:t>سؤال: در این حمل، نیت بر خلاف ظاهرش معنا شده است. در روایت‌های قرض فرموده‌اند کسی که نیت اداء نداشته باشد، به منزله سارق است. آیا نیت اداء به معنای آن است که امکان اداء برایش وجود نداشته باشد؟</w:t>
      </w:r>
    </w:p>
    <w:p w14:paraId="6D054B63" w14:textId="77777777" w:rsidR="00E75275" w:rsidRDefault="00E75275" w:rsidP="00E75275">
      <w:pPr>
        <w:rPr>
          <w:rtl/>
        </w:rPr>
      </w:pPr>
      <w:r>
        <w:rPr>
          <w:rFonts w:hint="cs"/>
          <w:rtl/>
        </w:rPr>
        <w:t>پاسخ: به قرینه روایت دیگر، نیت را به معنای آن دانستیم که بالفعل امکان نیت داشته باشد. در جایی که فرمودند نیت ادا نداشته باشد [به منزله سارق است] در صورتی است که نیت داشته باشد مال قرضی را پرداخت نکند. نیت گاهی اوقات به معنای آن است که الان نمی‌داند مال دارد یا نه ولی می‌خواهد آن را اداء کند و برای تأمین ادا نیز تلاش می‌کند.</w:t>
      </w:r>
    </w:p>
    <w:p w14:paraId="7F2A0A86" w14:textId="77777777" w:rsidR="00E75275" w:rsidRDefault="00E75275" w:rsidP="00E75275">
      <w:pPr>
        <w:rPr>
          <w:rtl/>
        </w:rPr>
      </w:pPr>
      <w:r>
        <w:rPr>
          <w:rFonts w:hint="cs"/>
          <w:rtl/>
        </w:rPr>
        <w:t>این روایت قطعاً باید تقیید بشود. ممکن است به قرینه روایت‌های دیگر ـ که اجازه برداشتن از ودعیّ بدون آنکه مال داشته باشد را نداده‌اند ـ به مال‌دار بودن مقید بشود. اگر مال غیر یتیم را نتواند بردارد مگر در صورتی که مال داشته باشد، مال یتیم را به طریق اولی اجازه برداشت ندارد مگر آنکه مال داشته باشد. پس به هر حال این روایت باید قید بخورد؛ یا قید به مال داشتن بالفعل، یا قید به مال بالقوه.</w:t>
      </w:r>
    </w:p>
    <w:p w14:paraId="0AE2B6BC" w14:textId="77777777" w:rsidR="00E75275" w:rsidRDefault="00E75275" w:rsidP="00E75275">
      <w:pPr>
        <w:rPr>
          <w:rtl/>
        </w:rPr>
      </w:pPr>
      <w:r>
        <w:rPr>
          <w:rFonts w:hint="cs"/>
          <w:rtl/>
        </w:rPr>
        <w:t>نتیجه آنکه، مقداری که تقیید این روایت لازم است، مال داشتن بالقوه است. همین مقدار از تقیید کافی است و دلیلی بر تقیید بیشتر از این وجود ندارد. روایت دیگر را نیز می‌توان به معنای مال‌دار بودن بالقوه معنا کرد. ظهور در آن ندارد که حتماً باید مال بالفعل داشته باشد و می‌تواند به معنای آن باشد مال بالقوه، برای جواز اقتراض کافی است.</w:t>
      </w:r>
    </w:p>
    <w:p w14:paraId="36890E1C" w14:textId="77777777" w:rsidR="00E75275" w:rsidRDefault="00E75275" w:rsidP="00E75275">
      <w:pPr>
        <w:rPr>
          <w:rtl/>
        </w:rPr>
      </w:pPr>
      <w:r>
        <w:rPr>
          <w:rFonts w:hint="cs"/>
          <w:rtl/>
        </w:rPr>
        <w:t>بنابراین نتیجهٔ کنار هم گذاشتن این دو روایت، آن است که ملائت بالجاه کافی است. البته می‌توان گفت اگر در اینجا ملائت بالجاه کفایت بکند، در مورد ولیّ به طریق اولی کفایت می‌کند. در جای خود بحث شده است که در مورد ولیّ ملائت بالجاه کفایت می‌کند یا نه.</w:t>
      </w:r>
    </w:p>
    <w:p w14:paraId="42EF0A69" w14:textId="77777777" w:rsidR="00E75275" w:rsidRDefault="00E75275" w:rsidP="00E75275">
      <w:pPr>
        <w:rPr>
          <w:rtl/>
        </w:rPr>
      </w:pPr>
      <w:r>
        <w:rPr>
          <w:rFonts w:hint="cs"/>
          <w:rtl/>
        </w:rPr>
        <w:t>سؤال: بنابر این حمل، اگر کسی پول داشته باشد ولی نیت برگرداندن نداشته باشد؛ برداشت او اشکالی ندارد؟</w:t>
      </w:r>
    </w:p>
    <w:p w14:paraId="676F277F" w14:textId="77777777" w:rsidR="00E75275" w:rsidRDefault="00E75275" w:rsidP="00E75275">
      <w:pPr>
        <w:rPr>
          <w:rtl/>
        </w:rPr>
      </w:pPr>
      <w:r>
        <w:rPr>
          <w:rFonts w:hint="cs"/>
          <w:rtl/>
        </w:rPr>
        <w:t>پاسخ: چنین نیست و حتماً باید نیت داشته باشد. عبارت «ینوی ان یأخذه» به معنای آن است که خودش را باید وام‌دار تلقی کند. کسی که نیت ندارد، اصلاً قرض برنمی‌دارد. کسی که نیت بازپرداخت دارد، می‌تواند قرض بردارد و خودش را مقروض می‌شمارد. این نیت در واقع، نوعی از انشاء قرض است. نیت اداء مقدمه‌ای برای انشاء قرض و قرض معاطاتی است. به نیت اداء برمی‌دارد یعنی مقروض بودن خودش را انشاء می‌کند.</w:t>
      </w:r>
    </w:p>
    <w:p w14:paraId="2E4B2CAC" w14:textId="77777777" w:rsidR="00E75275" w:rsidRDefault="00E75275" w:rsidP="00E75275">
      <w:r>
        <w:rPr>
          <w:rFonts w:hint="cs"/>
          <w:rtl/>
        </w:rPr>
        <w:t>بحث در آن است که نیت بازپرداخت فقط در مورد کسی است که مال دارد یا کسی که مال ندارد ولی زمینه پرداخت دارد را نیز شامل می‌شود. غرض آن است که نیت درجایی که زمینه پرداخت وجود داشته باشد، کفایت می‌کند.</w:t>
      </w:r>
    </w:p>
    <w:p w14:paraId="14FD8DCA" w14:textId="77777777" w:rsidR="00E75275" w:rsidRDefault="00E75275" w:rsidP="00E75275">
      <w:pPr>
        <w:pStyle w:val="Heading3"/>
        <w:rPr>
          <w:rtl/>
        </w:rPr>
      </w:pPr>
      <w:bookmarkStart w:id="13" w:name="_Toc106148107"/>
      <w:r>
        <w:rPr>
          <w:rFonts w:hint="cs"/>
          <w:rtl/>
        </w:rPr>
        <w:t>مرحله دوم: اقتراض و احتیاج</w:t>
      </w:r>
      <w:bookmarkEnd w:id="13"/>
    </w:p>
    <w:p w14:paraId="5E3546E9" w14:textId="77777777" w:rsidR="00E75275" w:rsidRDefault="00E75275" w:rsidP="00E75275">
      <w:pPr>
        <w:rPr>
          <w:rtl/>
        </w:rPr>
      </w:pPr>
      <w:r>
        <w:rPr>
          <w:rFonts w:hint="cs"/>
          <w:rtl/>
        </w:rPr>
        <w:t>در روایت «حبیب خثعمی» قید نکرده‌اند که ودعیّ باید محتاج باشد تا بتواند مال را بردارد. اما موضوع روایت قرب الاسناد، شخص محتاج است:</w:t>
      </w:r>
    </w:p>
    <w:p w14:paraId="3CEE5241" w14:textId="77777777" w:rsidR="00E75275" w:rsidRDefault="00E75275" w:rsidP="00E75275">
      <w:pPr>
        <w:pStyle w:val="a6"/>
        <w:rPr>
          <w:rtl/>
        </w:rPr>
      </w:pPr>
      <w:r w:rsidRPr="00984E52">
        <w:rPr>
          <w:rtl/>
        </w:rPr>
        <w:t>سَأَلْتُهُ عَنْ رَجُلٍ كَانَتْ عِنْدَهُ وَدِيعَةٌ لِرَجُلٍ، فَاحْتَاجَ إِلَيْهَا، هَلْ يَصْلُحُ لَهُ أَنْ يَأْخُذَ مِنْهَا وَ هُوَ مُجْمِعٌ أَنْ يَرُدَّهَا، بِغَيْرِ إِذْنِ صَاحِبِهَا؟ قَالَ</w:t>
      </w:r>
      <w:r>
        <w:rPr>
          <w:rFonts w:hint="cs"/>
          <w:rtl/>
        </w:rPr>
        <w:t>: «</w:t>
      </w:r>
      <w:r w:rsidRPr="00984E52">
        <w:rPr>
          <w:rtl/>
        </w:rPr>
        <w:t>إِذَا كَانَ عِنْدَهُ فَلَا بَأْسَ أَنْ يَأْخُذَ وَ يَرُدَّه</w:t>
      </w:r>
      <w:r>
        <w:rPr>
          <w:rFonts w:hint="cs"/>
          <w:rtl/>
        </w:rPr>
        <w:t>»</w:t>
      </w:r>
      <w:r>
        <w:rPr>
          <w:rStyle w:val="FootnoteReference"/>
          <w:rtl/>
        </w:rPr>
        <w:footnoteReference w:id="9"/>
      </w:r>
      <w:r>
        <w:rPr>
          <w:rFonts w:hint="cs"/>
          <w:rtl/>
        </w:rPr>
        <w:t>.</w:t>
      </w:r>
    </w:p>
    <w:p w14:paraId="1DD659E3" w14:textId="77777777" w:rsidR="00E75275" w:rsidRDefault="00E75275" w:rsidP="00E75275">
      <w:pPr>
        <w:rPr>
          <w:rtl/>
        </w:rPr>
      </w:pPr>
      <w:r>
        <w:rPr>
          <w:rFonts w:hint="cs"/>
          <w:rtl/>
        </w:rPr>
        <w:t>اگر این دو روایت به تنهایی بررسی شوند، با هم تنافی ندارند. در روایت قرب الاسناد، قید نزده‌اند که در صورت احتیاج می‌تواند بردارد. روایت «احمد بن محمد بن ابی نصر» نیز به همین صورت است و در فرض احتیاج، فرموده‌اند می‌تواند بردارد. اما بیان نشده است که فقط در صورت احتیاج می‌تواند بردارد و چنین قیدی ندارد.</w:t>
      </w:r>
    </w:p>
    <w:p w14:paraId="43431DE0" w14:textId="77777777" w:rsidR="00E75275" w:rsidRDefault="00E75275" w:rsidP="00E75275">
      <w:pPr>
        <w:rPr>
          <w:strike/>
          <w:rtl/>
        </w:rPr>
      </w:pPr>
      <w:r>
        <w:rPr>
          <w:rFonts w:hint="cs"/>
          <w:rtl/>
        </w:rPr>
        <w:t xml:space="preserve">ممکن است از این روایت‌ها برداشت شود، برای سائلین مفروغ عنه بوده است که اگر احتیاج ندارد، نمی‌تواند بردارد. اینکه سؤال را به صورت احتیاج اختصاص داده‌اند به علت آن بوده است که در صورت عدم احتیاج، مفروغ عنه بوده است که جایز نیست. </w:t>
      </w:r>
    </w:p>
    <w:p w14:paraId="00DDEE00" w14:textId="77777777" w:rsidR="00E75275" w:rsidRDefault="00E75275" w:rsidP="00E75275">
      <w:pPr>
        <w:rPr>
          <w:rtl/>
        </w:rPr>
      </w:pPr>
      <w:r>
        <w:rPr>
          <w:rFonts w:hint="cs"/>
          <w:rtl/>
        </w:rPr>
        <w:t>لکن این استظهار چنین جواب داده می‌شود که از جهت مفروغ عنه بودن جواز، نبوده است بلکه از آن جهت بوده که فردِ غیر محتاج، داعی برای اقتراض ندارد. کسی که احتیاج دارد، داعی برداشت از مال یتیم و دیگران دارد. شرطش احتیاج نبوده است بلکه انگیزه نوعی وجود ندارد. پس راوی به همین علت، قید احتیاج را بیان کرده و مفهوم ندارد.</w:t>
      </w:r>
    </w:p>
    <w:p w14:paraId="5D001E63" w14:textId="77777777" w:rsidR="00E75275" w:rsidRDefault="00E75275" w:rsidP="00E75275">
      <w:pPr>
        <w:rPr>
          <w:rtl/>
        </w:rPr>
      </w:pPr>
      <w:r>
        <w:rPr>
          <w:rFonts w:hint="cs"/>
          <w:rtl/>
        </w:rPr>
        <w:t>بنابراین با اطمینان نمی‌توان گفت از این روایت‌ها برداشت می‌شود که احتیاج، قیدِ جواز است.</w:t>
      </w:r>
    </w:p>
    <w:p w14:paraId="689A9222" w14:textId="77777777" w:rsidR="00E75275" w:rsidRDefault="00E75275" w:rsidP="00E75275">
      <w:pPr>
        <w:pStyle w:val="Heading4"/>
        <w:rPr>
          <w:rtl/>
        </w:rPr>
      </w:pPr>
      <w:bookmarkStart w:id="14" w:name="_Toc106148108"/>
      <w:r>
        <w:rPr>
          <w:rFonts w:hint="cs"/>
          <w:rtl/>
        </w:rPr>
        <w:t>تقید اقتراض به احتیاج از روایت «عبد الله بن سنان»</w:t>
      </w:r>
      <w:bookmarkEnd w:id="14"/>
    </w:p>
    <w:p w14:paraId="0CE50350" w14:textId="77777777" w:rsidR="00E75275" w:rsidRDefault="00E75275" w:rsidP="00E75275">
      <w:pPr>
        <w:rPr>
          <w:rtl/>
        </w:rPr>
      </w:pPr>
      <w:r>
        <w:rPr>
          <w:rFonts w:hint="cs"/>
          <w:rtl/>
        </w:rPr>
        <w:t>از روایت دیگری می‌توان قید بودن بعضی از موارد احتیاج را نتیجه گرفت. در بحث برداشت پدر از مال فرزند، روایتی از «عبد الله بن سنان» نقل شده است:</w:t>
      </w:r>
    </w:p>
    <w:p w14:paraId="48BCC930" w14:textId="77777777" w:rsidR="00E75275" w:rsidRDefault="00E75275" w:rsidP="00E75275">
      <w:pPr>
        <w:pStyle w:val="a6"/>
      </w:pPr>
      <w:r w:rsidRPr="00A875BD">
        <w:rPr>
          <w:rtl/>
        </w:rPr>
        <w:t>الحسين بن حماد عن عبد الله بن المغيرة عن ابن سنان قال : سألته يعني ابا عبد الله عليه‌السلام ماذا يحل للوالد من مال ولده؟ قال : اما إذا انفق عليه ولده باحسن النفقة فليس له ان ياخذ من ماله شيئا</w:t>
      </w:r>
      <w:r>
        <w:rPr>
          <w:rFonts w:hint="cs"/>
          <w:rtl/>
        </w:rPr>
        <w:t xml:space="preserve"> ... </w:t>
      </w:r>
      <w:r>
        <w:rPr>
          <w:rStyle w:val="FootnoteReference"/>
          <w:rtl/>
        </w:rPr>
        <w:footnoteReference w:id="10"/>
      </w:r>
    </w:p>
    <w:p w14:paraId="0D7F07F7" w14:textId="77777777" w:rsidR="00E75275" w:rsidRDefault="00E75275" w:rsidP="00E75275">
      <w:pPr>
        <w:rPr>
          <w:rtl/>
        </w:rPr>
      </w:pPr>
      <w:r>
        <w:rPr>
          <w:rFonts w:hint="cs"/>
          <w:rtl/>
        </w:rPr>
        <w:t>در این روایت می‌فرمایند اگر فرزند، پدر را تأمین می‌کند؛ پدر حق ندارد از مال فرزند بردارد. کأن پدر در صورتی می‌تواند از مال فرزند بردارد که احتیاجی داشته باشد.</w:t>
      </w:r>
    </w:p>
    <w:p w14:paraId="5D6133D2" w14:textId="77777777" w:rsidR="00E75275" w:rsidRDefault="00E75275" w:rsidP="00E75275">
      <w:pPr>
        <w:rPr>
          <w:rtl/>
        </w:rPr>
      </w:pPr>
      <w:r>
        <w:rPr>
          <w:rFonts w:hint="cs"/>
          <w:rtl/>
        </w:rPr>
        <w:t>در عبارت فرموده‌اند: «بأحسن النفقة» که به معنای آن است که کاملاً پدر را تأمین می‌کند. شاید چنین برداشت بشود که تأمین فرزند خصوصیتی ندارد. در صورتی که خود پدر «احسن النفقه» داشته باشد و زندگی‌اش به گونه‌ای باشد که هیچ احتیاجی به مال فرزندش نداشته باشد ـ ولو احتیاج فی الجلمه ـ ؛ حق اقتراض از مال فرزندش ندارد. پس برداشت نمی‌شود که انفاق پسر، خصوصیتی دارد و در صورتی که پدر کاملاً تأمین باشد، حق ندارد از مال فرزندش بردارد،‌ چه مجانا چه قرضاً.</w:t>
      </w:r>
    </w:p>
    <w:p w14:paraId="750DD5C1" w14:textId="77777777" w:rsidR="00E75275" w:rsidRDefault="00E75275" w:rsidP="00E75275">
      <w:pPr>
        <w:rPr>
          <w:rtl/>
        </w:rPr>
      </w:pPr>
      <w:r>
        <w:rPr>
          <w:rFonts w:hint="cs"/>
          <w:rtl/>
        </w:rPr>
        <w:t>خیلی وقت‌ها اطلاق «فاحتاج» در صورتی است که در اولیات زندگی مانده است. اما کسی که در اولیات زندگی نمانده است ولی زندگی راحتی نیز ندارد، «احسن النفقه» در موردش صدق نمی‌کند. در جایی که پدر کاملاً تأمین است و احسن النفقه دارد، نمی‌تواند از مال فرزندش دارد.</w:t>
      </w:r>
    </w:p>
    <w:p w14:paraId="2ECE3E7B" w14:textId="77777777" w:rsidR="00E75275" w:rsidRDefault="00E75275" w:rsidP="00E75275">
      <w:pPr>
        <w:rPr>
          <w:rtl/>
        </w:rPr>
      </w:pPr>
      <w:r>
        <w:rPr>
          <w:rFonts w:hint="cs"/>
          <w:rtl/>
        </w:rPr>
        <w:t>وقتی در مورد پدر چنین قیدی وجود داشته باشد، در مورد ودعیّ نیز ممکن است این قید، بیان شود.</w:t>
      </w:r>
    </w:p>
    <w:p w14:paraId="393FC7C8" w14:textId="77777777" w:rsidR="00E75275" w:rsidRDefault="00E75275" w:rsidP="00E75275">
      <w:pPr>
        <w:rPr>
          <w:rtl/>
        </w:rPr>
      </w:pPr>
      <w:r>
        <w:rPr>
          <w:rFonts w:hint="cs"/>
          <w:rtl/>
        </w:rPr>
        <w:t>اینکه کسی بتواند از مال دیگری بردارد، خلاف قاعده است. می‌توان گفت در صورتی که هیچ احتیاجی نداشته باشد، عدم جواز مسلم است و تخصیص قاعده مشکل. همچنین می‌توان گفت ادله جواز، منصرف از مواردی هستند که هیچ گونه احتیاجی ندارد. به عبارت دیگر ادله جواز برداشت از مال دیگران، دلالت بر احتیاج فی الجمله دارند.</w:t>
      </w:r>
    </w:p>
    <w:p w14:paraId="5EE007FD" w14:textId="77777777" w:rsidR="00E75275" w:rsidRDefault="00E75275" w:rsidP="00E75275">
      <w:pPr>
        <w:pStyle w:val="Heading4"/>
        <w:rPr>
          <w:rtl/>
        </w:rPr>
      </w:pPr>
      <w:bookmarkStart w:id="15" w:name="_Toc106148109"/>
      <w:r>
        <w:rPr>
          <w:rFonts w:hint="cs"/>
          <w:rtl/>
        </w:rPr>
        <w:t>تقید اقتراض به احتیاج در روایت «علی بن جعفر»</w:t>
      </w:r>
      <w:bookmarkEnd w:id="15"/>
    </w:p>
    <w:p w14:paraId="539F67ED" w14:textId="77777777" w:rsidR="00E75275" w:rsidRDefault="00E75275" w:rsidP="00E75275">
      <w:pPr>
        <w:rPr>
          <w:rtl/>
        </w:rPr>
      </w:pPr>
      <w:r>
        <w:rPr>
          <w:rFonts w:hint="cs"/>
          <w:rtl/>
        </w:rPr>
        <w:t>روایت دیگری که به آن ممکن است استشهاد بشود که قرض برداشتن پدر، مشروط به احتیاج است؛ از «علی بن جعفر» به ما رسیده است:</w:t>
      </w:r>
    </w:p>
    <w:p w14:paraId="2562C1F8" w14:textId="77777777" w:rsidR="00E75275" w:rsidRDefault="00E75275" w:rsidP="00E75275">
      <w:pPr>
        <w:pStyle w:val="a6"/>
        <w:rPr>
          <w:rtl/>
        </w:rPr>
      </w:pPr>
      <w:r w:rsidRPr="00E66528">
        <w:rPr>
          <w:rtl/>
        </w:rPr>
        <w:t>سَأَلْتُهُ عَنِ الرَّجُلِ، يَأْخُذُ مِنْ مَالِ وَلَدِهِ؟ قَالَ</w:t>
      </w:r>
      <w:r w:rsidRPr="00E66528">
        <w:t>:</w:t>
      </w:r>
      <w:r>
        <w:rPr>
          <w:rFonts w:hint="cs"/>
          <w:rtl/>
        </w:rPr>
        <w:t xml:space="preserve"> «</w:t>
      </w:r>
      <w:r w:rsidRPr="00E66528">
        <w:rPr>
          <w:rtl/>
        </w:rPr>
        <w:t>لَا، إِلَّا بِإِذْنِهِ، أَوْ يُضْطَرُّ فَيَأْكُلُ بِالْمَعْرُوفِ، أَوْ يَسْتَقْرِضُ مِنْهُ حَتَّى يُعْطِيَهُ إِذَا أَيْسَرَ، وَ لَا يَصْلُحُ لِلْوَلَدِ أَنْ يَأْخُذَ مِنْ مَالِ وَالِدِهِ إِلَّا بِإِذْنِ وَالِدِهِ</w:t>
      </w:r>
      <w:r>
        <w:rPr>
          <w:rFonts w:hint="cs"/>
          <w:rtl/>
        </w:rPr>
        <w:t>»</w:t>
      </w:r>
      <w:r>
        <w:rPr>
          <w:rStyle w:val="FootnoteReference"/>
          <w:rtl/>
        </w:rPr>
        <w:footnoteReference w:id="11"/>
      </w:r>
      <w:r>
        <w:rPr>
          <w:rFonts w:hint="cs"/>
          <w:rtl/>
        </w:rPr>
        <w:t>.</w:t>
      </w:r>
    </w:p>
    <w:p w14:paraId="58B81CE3" w14:textId="77777777" w:rsidR="00E75275" w:rsidRDefault="00E75275" w:rsidP="00E75275">
      <w:pPr>
        <w:rPr>
          <w:rtl/>
        </w:rPr>
      </w:pPr>
      <w:r>
        <w:rPr>
          <w:rFonts w:hint="cs"/>
          <w:rtl/>
        </w:rPr>
        <w:t>اگر «یستقرض منه» عطف بر «یأکل» باشد، به معنای آن است که در صورت اضطرار؛ قرض برمی‌دارد. هنگام اضطرار، یا از مال فرزندش برمی‌دارد یا از آن قرض برمی‌دارد. پس قرض برداشتن پدر، مشروط به اضطرار است.</w:t>
      </w:r>
    </w:p>
    <w:p w14:paraId="2A39097B" w14:textId="77777777" w:rsidR="00E75275" w:rsidRDefault="00E75275" w:rsidP="00E75275">
      <w:pPr>
        <w:rPr>
          <w:rtl/>
        </w:rPr>
      </w:pPr>
      <w:r>
        <w:rPr>
          <w:rFonts w:hint="cs"/>
          <w:rtl/>
        </w:rPr>
        <w:t>اما ممکن است «یستقرض منه» عطف به «یضطر» باشد. در این صورت نیز به معنای آن است که پدر در شرایط «أیسر» قرار ندارد. او احتیاج دارد ولی مضطر نیست. پس اگر احتیاج نداشته باشد، نمی‌تواند از مال فرزندش قرض بردارد. در نتیجه باز هم قرض برداشتن پدر، مشروط به احتیاج است.</w:t>
      </w:r>
    </w:p>
    <w:p w14:paraId="692D856E" w14:textId="77777777" w:rsidR="00E75275" w:rsidRDefault="00E75275" w:rsidP="00E75275">
      <w:pPr>
        <w:rPr>
          <w:rtl/>
        </w:rPr>
      </w:pPr>
      <w:r>
        <w:rPr>
          <w:rFonts w:hint="cs"/>
          <w:rtl/>
        </w:rPr>
        <w:t>بنابراین از این روایت استفاده می‌شود، قرض برداشتن پدر، مشروط به احتیاج است. از طرف دیگر وقتی اقتراض پدر، مشروط به احتیاج باشد؛ طبیعتاً در مورد غیر پدر نیز باید این قید، معتبر باشد.</w:t>
      </w:r>
    </w:p>
    <w:p w14:paraId="1264AD52" w14:textId="77777777" w:rsidR="00E75275" w:rsidRDefault="00E75275" w:rsidP="00E75275">
      <w:pPr>
        <w:rPr>
          <w:rtl/>
        </w:rPr>
      </w:pPr>
      <w:r>
        <w:rPr>
          <w:rFonts w:hint="cs"/>
          <w:rtl/>
        </w:rPr>
        <w:t>در روایات دیگر نیز قید احتیاج بیان شده است و تنها روایت «حبیب خثعمی» چنین قیدی ندارد. اینکه گفته شود: «تقید به احتیاج در همه روایت‌ها، به علت عدم انگیزه بر اقتراض در صورت عدم احتیاج بوده است» صحیح نیست. برداشت صحیح آن است که عدم جواز در صورت عدم احتیاج، مفروغ عنه بوده است؛ نه آنکه در فرض عدم احتیاج، انگیزه برداشت ندارد. حرمت اخذ در صورت عدم احتیاج، مسلم بوده است.</w:t>
      </w:r>
    </w:p>
    <w:p w14:paraId="3B59ECE5" w14:textId="77777777" w:rsidR="00E75275" w:rsidRDefault="00E75275" w:rsidP="00E75275">
      <w:pPr>
        <w:rPr>
          <w:rtl/>
        </w:rPr>
      </w:pPr>
      <w:r>
        <w:rPr>
          <w:rFonts w:hint="cs"/>
          <w:rtl/>
        </w:rPr>
        <w:t>همچنین برداشت از مال دیگران خلاف قاعده نیز می‌باشد. از مجموع روایات استفاده می‌شود که ودعیّ در صورت احتیاج می‌تواند از ودیعه بردارد. در بحث یتیم می‌فرماید در صورتی می‌تواند قرض بردارد که به اندازه قصد باشد و اسراف نکند. معلوم نیست روایت‌هایی که می‌فرمایند می‌تواند قرض بردارد، شامل موارد سرف بشود. در مورد یتیم تصریح می‌کنند که سرف نباشد. شاید قیدی باشد که اطلاق روایات دیگر هم آن را برساند.</w:t>
      </w:r>
    </w:p>
    <w:p w14:paraId="03E1D953" w14:textId="77777777" w:rsidR="00E75275" w:rsidRDefault="00E75275" w:rsidP="00E75275">
      <w:pPr>
        <w:pStyle w:val="Heading2"/>
        <w:rPr>
          <w:rtl/>
        </w:rPr>
      </w:pPr>
      <w:bookmarkStart w:id="16" w:name="_Toc106148110"/>
      <w:r>
        <w:rPr>
          <w:rFonts w:hint="cs"/>
          <w:rtl/>
        </w:rPr>
        <w:t>جمع بندی قیود اقتراض از مال ودعیّ</w:t>
      </w:r>
      <w:bookmarkEnd w:id="16"/>
    </w:p>
    <w:p w14:paraId="0A5AE740" w14:textId="77777777" w:rsidR="00E75275" w:rsidRDefault="00E75275" w:rsidP="00E75275">
      <w:pPr>
        <w:rPr>
          <w:rtl/>
        </w:rPr>
      </w:pPr>
      <w:r>
        <w:rPr>
          <w:rFonts w:hint="cs"/>
          <w:rtl/>
        </w:rPr>
        <w:t>مقداری که می‌توان از جمع بندی این روایات نتیجه گرفت آن است که ودعیّ، حق اقتراض دارد به شرط احتیاج و عدم اسراف. به نظر می‌رسد فتوا دادن به این مقدار، دشوار نیست. روایت‌های یتیم نیز همین مقدار را اثبات کرده‌اند. روایت‌های یتیم و امثال آن در کتب معروف مثل کافی، تهذیب و فقیه نقل شده و به آن فتوا داده‌اند.</w:t>
      </w:r>
    </w:p>
    <w:p w14:paraId="5C66282A" w14:textId="77777777" w:rsidR="00E75275" w:rsidRDefault="00E75275" w:rsidP="00E75275">
      <w:pPr>
        <w:rPr>
          <w:rtl/>
        </w:rPr>
      </w:pPr>
      <w:r>
        <w:rPr>
          <w:rFonts w:hint="cs"/>
          <w:rtl/>
        </w:rPr>
        <w:t>نتیجه آنکه اقتراض ودعیّ از مال ودیعه با چند شرط، جایز است:</w:t>
      </w:r>
    </w:p>
    <w:p w14:paraId="561FA9A6" w14:textId="77777777" w:rsidR="00E75275" w:rsidRPr="00F837EE" w:rsidRDefault="00E75275" w:rsidP="00E75275">
      <w:pPr>
        <w:pStyle w:val="ListParagraph"/>
        <w:numPr>
          <w:ilvl w:val="0"/>
          <w:numId w:val="13"/>
        </w:numPr>
        <w:spacing w:after="160" w:line="259" w:lineRule="auto"/>
        <w:rPr>
          <w:rFonts w:cs="IRLotus"/>
        </w:rPr>
      </w:pPr>
      <w:r w:rsidRPr="00F837EE">
        <w:rPr>
          <w:rFonts w:cs="IRLotus"/>
          <w:rtl/>
        </w:rPr>
        <w:t>احتیاج</w:t>
      </w:r>
    </w:p>
    <w:p w14:paraId="17BC2FB5" w14:textId="77777777" w:rsidR="00E75275" w:rsidRPr="00F837EE" w:rsidRDefault="00E75275" w:rsidP="00E75275">
      <w:pPr>
        <w:pStyle w:val="ListParagraph"/>
        <w:numPr>
          <w:ilvl w:val="0"/>
          <w:numId w:val="13"/>
        </w:numPr>
        <w:spacing w:after="160" w:line="259" w:lineRule="auto"/>
        <w:rPr>
          <w:rFonts w:cs="IRLotus"/>
        </w:rPr>
      </w:pPr>
      <w:r w:rsidRPr="00F837EE">
        <w:rPr>
          <w:rFonts w:cs="IRLotus"/>
          <w:rtl/>
        </w:rPr>
        <w:t>نیت اداء</w:t>
      </w:r>
    </w:p>
    <w:p w14:paraId="297EE389" w14:textId="77777777" w:rsidR="00E75275" w:rsidRPr="00F837EE" w:rsidRDefault="00E75275" w:rsidP="00E75275">
      <w:pPr>
        <w:pStyle w:val="ListParagraph"/>
        <w:numPr>
          <w:ilvl w:val="0"/>
          <w:numId w:val="13"/>
        </w:numPr>
        <w:spacing w:after="160" w:line="259" w:lineRule="auto"/>
        <w:rPr>
          <w:rFonts w:cs="IRLotus"/>
        </w:rPr>
      </w:pPr>
      <w:r w:rsidRPr="00F837EE">
        <w:rPr>
          <w:rFonts w:cs="IRLotus"/>
          <w:rtl/>
        </w:rPr>
        <w:t>بدون اسراف</w:t>
      </w:r>
    </w:p>
    <w:p w14:paraId="03EBBBC4" w14:textId="77777777" w:rsidR="00E75275" w:rsidRPr="00F837EE" w:rsidRDefault="00E75275" w:rsidP="00E75275">
      <w:pPr>
        <w:pStyle w:val="ListParagraph"/>
        <w:numPr>
          <w:ilvl w:val="0"/>
          <w:numId w:val="13"/>
        </w:numPr>
        <w:spacing w:after="160" w:line="259" w:lineRule="auto"/>
        <w:rPr>
          <w:rFonts w:cs="IRLotus"/>
        </w:rPr>
      </w:pPr>
      <w:r w:rsidRPr="00F837EE">
        <w:rPr>
          <w:rFonts w:cs="IRLotus"/>
          <w:rtl/>
        </w:rPr>
        <w:t>ملائت به این معنا که زمینه پرداخت وجود داشته باشد. ملائت خصوصیت ندارد و اطمینان عقلائی به توانایی پرداخت کافی است. یا مال داشته باشد یا کسی او را تضمین کند یا اطمینان عقلائی به توانایی‌اش باشد.</w:t>
      </w:r>
    </w:p>
    <w:p w14:paraId="79BB7D74" w14:textId="058EFC23" w:rsidR="004D1EFF" w:rsidRDefault="00E75275" w:rsidP="00E75275">
      <w:r>
        <w:rPr>
          <w:rFonts w:hint="cs"/>
          <w:rtl/>
        </w:rPr>
        <w:t>اگر اقتراض پدر، مقید به احتیاج باشد؛ اقتراض مادر نیز مقید به احتیاج خواهد بود. از روایات استفاده می‌شود که حق مادر در برداشت از مال فرزند، کمتر از حق پدر است. پدر مثل سائر اولیاء اگر مال داشته باشد، می‌تواند قرض بردارد. بحث در جایی است که مال ندارد. در جایی که مال ندارد، شرطش آن است که احتیاج داشته باشد. بنابراین در مورد مادر نیز به نظر می‌رسد قید احتیاج را باید معتبر دانست.</w:t>
      </w:r>
      <w:bookmarkEnd w:id="5"/>
    </w:p>
    <w:sectPr w:rsidR="004D1EFF" w:rsidSect="00F91B85">
      <w:headerReference w:type="default" r:id="rId9"/>
      <w:footerReference w:type="default" r:id="rId10"/>
      <w:footnotePr>
        <w:numRestart w:val="eachPage"/>
      </w:footnotePr>
      <w:pgSz w:w="11906" w:h="16838"/>
      <w:pgMar w:top="851" w:right="851" w:bottom="851" w:left="851" w:header="709" w:footer="0" w:gutter="0"/>
      <w:pgBorders w:offsetFrom="page">
        <w:top w:val="thinThickSmallGap" w:sz="18" w:space="24" w:color="auto"/>
        <w:left w:val="thinThickSmallGap" w:sz="18" w:space="24" w:color="auto"/>
        <w:bottom w:val="thickThinSmallGap" w:sz="18" w:space="24" w:color="auto"/>
        <w:right w:val="thickThinSmallGap" w:sz="18" w:space="24" w:color="auto"/>
      </w:pgBorders>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A290BE" w14:textId="77777777" w:rsidR="005B2DB3" w:rsidRDefault="005B2DB3" w:rsidP="00654DB0">
      <w:r>
        <w:separator/>
      </w:r>
    </w:p>
  </w:endnote>
  <w:endnote w:type="continuationSeparator" w:id="0">
    <w:p w14:paraId="40BD5C10" w14:textId="77777777" w:rsidR="005B2DB3" w:rsidRDefault="005B2DB3" w:rsidP="00654D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RLotus">
    <w:panose1 w:val="02000503000000020002"/>
    <w:charset w:val="00"/>
    <w:family w:val="auto"/>
    <w:pitch w:val="variable"/>
    <w:sig w:usb0="00002003" w:usb1="00000000" w:usb2="00000000" w:usb3="00000000" w:csb0="00000041" w:csb1="00000000"/>
  </w:font>
  <w:font w:name="IRTitr">
    <w:panose1 w:val="02000506000000020002"/>
    <w:charset w:val="00"/>
    <w:family w:val="auto"/>
    <w:pitch w:val="variable"/>
    <w:sig w:usb0="00002003"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 w:name="B Titr">
    <w:panose1 w:val="00000700000000000000"/>
    <w:charset w:val="B2"/>
    <w:family w:val="auto"/>
    <w:pitch w:val="variable"/>
    <w:sig w:usb0="00002001" w:usb1="80000000" w:usb2="00000008" w:usb3="00000000" w:csb0="00000040" w:csb1="00000000"/>
  </w:font>
  <w:font w:name="B Badr">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IRANSans">
    <w:panose1 w:val="020B0506030804020204"/>
    <w:charset w:val="00"/>
    <w:family w:val="swiss"/>
    <w:pitch w:val="variable"/>
    <w:sig w:usb0="80002003" w:usb1="00000000" w:usb2="00000008" w:usb3="00000000" w:csb0="00000041" w:csb1="00000000"/>
  </w:font>
  <w:font w:name="Alaem">
    <w:altName w:val="Times New Roman"/>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bidiVisual/>
      <w:tblW w:w="0" w:type="auto"/>
      <w:tblLook w:val="04A0" w:firstRow="1" w:lastRow="0" w:firstColumn="1" w:lastColumn="0" w:noHBand="0" w:noVBand="1"/>
    </w:tblPr>
    <w:tblGrid>
      <w:gridCol w:w="3309"/>
      <w:gridCol w:w="2206"/>
      <w:gridCol w:w="4689"/>
    </w:tblGrid>
    <w:tr w:rsidR="00B85003" w:rsidRPr="00D31761" w14:paraId="1E68E05F" w14:textId="77777777" w:rsidTr="00451E0C">
      <w:tc>
        <w:tcPr>
          <w:tcW w:w="3382" w:type="dxa"/>
          <w:tcBorders>
            <w:top w:val="nil"/>
            <w:left w:val="nil"/>
            <w:bottom w:val="nil"/>
            <w:right w:val="nil"/>
          </w:tcBorders>
        </w:tcPr>
        <w:p w14:paraId="058AC55C" w14:textId="77777777" w:rsidR="00B85003" w:rsidRPr="00D31761" w:rsidRDefault="00B85003" w:rsidP="00B85003">
          <w:pPr>
            <w:pStyle w:val="Footer"/>
            <w:rPr>
              <w:sz w:val="18"/>
              <w:szCs w:val="22"/>
              <w:rtl/>
            </w:rPr>
          </w:pPr>
          <w:r w:rsidRPr="00D31761">
            <w:rPr>
              <w:rFonts w:hint="cs"/>
              <w:color w:val="808080" w:themeColor="background1" w:themeShade="80"/>
              <w:sz w:val="18"/>
              <w:szCs w:val="24"/>
              <w:rtl/>
            </w:rPr>
            <w:t>مدرسه فقهی امام محمدباقر علیه السلام</w:t>
          </w:r>
        </w:p>
      </w:tc>
      <w:tc>
        <w:tcPr>
          <w:tcW w:w="2252" w:type="dxa"/>
          <w:tcBorders>
            <w:top w:val="nil"/>
            <w:left w:val="nil"/>
            <w:bottom w:val="nil"/>
            <w:right w:val="nil"/>
          </w:tcBorders>
          <w:vAlign w:val="center"/>
        </w:tcPr>
        <w:p w14:paraId="37C21371" w14:textId="77777777" w:rsidR="00B85003" w:rsidRPr="00D31761" w:rsidRDefault="00B85003" w:rsidP="00B85003">
          <w:pPr>
            <w:pStyle w:val="Footer"/>
            <w:jc w:val="right"/>
            <w:rPr>
              <w:sz w:val="18"/>
              <w:szCs w:val="22"/>
              <w:rtl/>
            </w:rPr>
          </w:pPr>
          <w:r w:rsidRPr="00D31761">
            <w:rPr>
              <w:rFonts w:hint="cs"/>
              <w:sz w:val="18"/>
              <w:szCs w:val="24"/>
              <w:rtl/>
            </w:rPr>
            <w:t xml:space="preserve">صفحه </w:t>
          </w:r>
          <w:r w:rsidRPr="00D31761">
            <w:rPr>
              <w:sz w:val="18"/>
              <w:szCs w:val="24"/>
              <w:rtl/>
            </w:rPr>
            <w:fldChar w:fldCharType="begin"/>
          </w:r>
          <w:r w:rsidRPr="00D31761">
            <w:rPr>
              <w:sz w:val="18"/>
              <w:szCs w:val="24"/>
            </w:rPr>
            <w:instrText>PAGE   \* MERGEFORMAT</w:instrText>
          </w:r>
          <w:r w:rsidRPr="00D31761">
            <w:rPr>
              <w:sz w:val="18"/>
              <w:szCs w:val="24"/>
              <w:rtl/>
            </w:rPr>
            <w:fldChar w:fldCharType="separate"/>
          </w:r>
          <w:r w:rsidR="00FC3AC1">
            <w:rPr>
              <w:noProof/>
              <w:sz w:val="18"/>
              <w:szCs w:val="24"/>
              <w:rtl/>
            </w:rPr>
            <w:t>8</w:t>
          </w:r>
          <w:r w:rsidRPr="00D31761">
            <w:rPr>
              <w:noProof/>
              <w:sz w:val="18"/>
              <w:szCs w:val="24"/>
              <w:rtl/>
            </w:rPr>
            <w:fldChar w:fldCharType="end"/>
          </w:r>
        </w:p>
      </w:tc>
      <w:tc>
        <w:tcPr>
          <w:tcW w:w="4786" w:type="dxa"/>
          <w:tcBorders>
            <w:top w:val="nil"/>
            <w:left w:val="nil"/>
            <w:bottom w:val="nil"/>
            <w:right w:val="nil"/>
          </w:tcBorders>
          <w:vAlign w:val="center"/>
        </w:tcPr>
        <w:p w14:paraId="2B70B8A8" w14:textId="3FBBCBDF" w:rsidR="00B85003" w:rsidRPr="00D31761" w:rsidRDefault="00B85003" w:rsidP="00B85003">
          <w:pPr>
            <w:pStyle w:val="Footer"/>
            <w:bidi w:val="0"/>
            <w:rPr>
              <w:color w:val="808080" w:themeColor="background1" w:themeShade="80"/>
              <w:sz w:val="18"/>
              <w:szCs w:val="24"/>
              <w:rtl/>
            </w:rPr>
          </w:pPr>
          <w:bookmarkStart w:id="24" w:name="BokAdres"/>
          <w:bookmarkEnd w:id="24"/>
          <w:r w:rsidRPr="00D31761">
            <w:rPr>
              <w:color w:val="808080" w:themeColor="background1" w:themeShade="80"/>
              <w:sz w:val="18"/>
              <w:szCs w:val="24"/>
            </w:rPr>
            <w:t>F1js1_140</w:t>
          </w:r>
          <w:r w:rsidR="007144FD">
            <w:rPr>
              <w:color w:val="808080" w:themeColor="background1" w:themeShade="80"/>
              <w:sz w:val="18"/>
              <w:szCs w:val="24"/>
            </w:rPr>
            <w:t>10</w:t>
          </w:r>
          <w:r w:rsidR="005D4E1E">
            <w:rPr>
              <w:color w:val="808080" w:themeColor="background1" w:themeShade="80"/>
              <w:sz w:val="18"/>
              <w:szCs w:val="24"/>
            </w:rPr>
            <w:t>3</w:t>
          </w:r>
          <w:r w:rsidR="004D1EFF">
            <w:rPr>
              <w:color w:val="808080" w:themeColor="background1" w:themeShade="80"/>
              <w:sz w:val="18"/>
              <w:szCs w:val="24"/>
            </w:rPr>
            <w:t>10</w:t>
          </w:r>
          <w:r w:rsidRPr="00D31761">
            <w:rPr>
              <w:color w:val="808080" w:themeColor="background1" w:themeShade="80"/>
              <w:sz w:val="18"/>
              <w:szCs w:val="24"/>
            </w:rPr>
            <w:t>-</w:t>
          </w:r>
          <w:r w:rsidR="000F2F9E">
            <w:rPr>
              <w:color w:val="808080" w:themeColor="background1" w:themeShade="80"/>
              <w:sz w:val="18"/>
              <w:szCs w:val="24"/>
            </w:rPr>
            <w:t>1</w:t>
          </w:r>
          <w:r w:rsidR="005206DC">
            <w:rPr>
              <w:color w:val="808080" w:themeColor="background1" w:themeShade="80"/>
              <w:sz w:val="18"/>
              <w:szCs w:val="24"/>
            </w:rPr>
            <w:t>1</w:t>
          </w:r>
          <w:r w:rsidR="004D1EFF">
            <w:rPr>
              <w:color w:val="808080" w:themeColor="background1" w:themeShade="80"/>
              <w:sz w:val="18"/>
              <w:szCs w:val="24"/>
            </w:rPr>
            <w:t>1</w:t>
          </w:r>
          <w:r w:rsidRPr="00D31761">
            <w:rPr>
              <w:color w:val="808080" w:themeColor="background1" w:themeShade="80"/>
              <w:sz w:val="18"/>
              <w:szCs w:val="24"/>
            </w:rPr>
            <w:t>_am4_mfeb.ir</w:t>
          </w:r>
        </w:p>
      </w:tc>
    </w:tr>
  </w:tbl>
  <w:p w14:paraId="0315C7E9" w14:textId="77777777" w:rsidR="00FA3B17" w:rsidRPr="00B85003" w:rsidRDefault="00FA3B17" w:rsidP="00B85003">
    <w:pPr>
      <w:pStyle w:val="Footer"/>
      <w:rPr>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601EDF5" w14:textId="77777777" w:rsidR="005B2DB3" w:rsidRDefault="005B2DB3" w:rsidP="00654DB0">
      <w:r>
        <w:separator/>
      </w:r>
    </w:p>
  </w:footnote>
  <w:footnote w:type="continuationSeparator" w:id="0">
    <w:p w14:paraId="1D8AAAEF" w14:textId="77777777" w:rsidR="005B2DB3" w:rsidRDefault="005B2DB3" w:rsidP="00654DB0">
      <w:r>
        <w:continuationSeparator/>
      </w:r>
    </w:p>
  </w:footnote>
  <w:footnote w:id="1">
    <w:p w14:paraId="596B8B74" w14:textId="77777777" w:rsidR="00E75275" w:rsidRPr="00F837EE" w:rsidRDefault="00E75275" w:rsidP="00E75275">
      <w:pPr>
        <w:pStyle w:val="FootnoteText"/>
      </w:pPr>
      <w:r w:rsidRPr="00F837EE">
        <w:rPr>
          <w:rStyle w:val="FootnoteReference"/>
          <w:vertAlign w:val="baseline"/>
        </w:rPr>
        <w:footnoteRef/>
      </w:r>
      <w:r w:rsidRPr="00F837EE">
        <w:rPr>
          <w:rFonts w:hint="cs"/>
          <w:rtl/>
        </w:rPr>
        <w:t xml:space="preserve">. </w:t>
      </w:r>
      <w:hyperlink r:id="rId1" w:history="1">
        <w:r w:rsidRPr="00F837EE">
          <w:rPr>
            <w:rStyle w:val="Hyperlink"/>
            <w:rFonts w:hint="cs"/>
            <w:rtl/>
          </w:rPr>
          <w:t>الكافي (ط - الإسلامية)، ج ‌3، ص 540</w:t>
        </w:r>
      </w:hyperlink>
      <w:r w:rsidRPr="00F837EE">
        <w:rPr>
          <w:rFonts w:hint="cs"/>
          <w:rtl/>
        </w:rPr>
        <w:t>. جامع احادیث الشیعه، ج ۹، حدیث ۱۲۹۷۵.</w:t>
      </w:r>
    </w:p>
  </w:footnote>
  <w:footnote w:id="2">
    <w:p w14:paraId="0DD1B896" w14:textId="77777777" w:rsidR="00E75275" w:rsidRPr="00F837EE" w:rsidRDefault="00E75275" w:rsidP="00E75275">
      <w:pPr>
        <w:pStyle w:val="FootnoteText"/>
        <w:rPr>
          <w:rtl/>
        </w:rPr>
      </w:pPr>
      <w:r w:rsidRPr="00F837EE">
        <w:rPr>
          <w:rStyle w:val="FootnoteReference"/>
          <w:vertAlign w:val="baseline"/>
        </w:rPr>
        <w:footnoteRef/>
      </w:r>
      <w:r w:rsidRPr="00F837EE">
        <w:rPr>
          <w:rFonts w:hint="cs"/>
          <w:rtl/>
        </w:rPr>
        <w:t xml:space="preserve">. </w:t>
      </w:r>
      <w:r w:rsidRPr="00F837EE">
        <w:rPr>
          <w:rtl/>
        </w:rPr>
        <w:t>محمد بن يعقوب عن محمد بن اسماعيل عن الفضل بن شاذان عن ابن ابي عمير عن عبد الرحمن بن الحجاج قال: قلت لابي عبد الله عليه‌السلام امرأة من اهلنا مختلطة عليها زكاة؟ فقال : ان كان عمل به فعليها زكاه وان لم يعمل به فلا</w:t>
      </w:r>
      <w:r w:rsidRPr="00F837EE">
        <w:rPr>
          <w:rFonts w:hint="cs"/>
          <w:rtl/>
        </w:rPr>
        <w:t xml:space="preserve">. </w:t>
      </w:r>
      <w:hyperlink r:id="rId2" w:history="1">
        <w:r w:rsidRPr="00F837EE">
          <w:rPr>
            <w:rStyle w:val="Hyperlink"/>
            <w:rFonts w:hint="cs"/>
            <w:rtl/>
          </w:rPr>
          <w:t>تهذیب الأحکام، شیخ طوسی، ج ۴، ص ۳۰</w:t>
        </w:r>
      </w:hyperlink>
      <w:r w:rsidRPr="00F837EE">
        <w:rPr>
          <w:rFonts w:hint="cs"/>
          <w:rtl/>
        </w:rPr>
        <w:t>. جامع احادیث الشیعه، ج ۹، ص ۲۱۴، حدیث ۱۲۹۷۷.</w:t>
      </w:r>
    </w:p>
  </w:footnote>
  <w:footnote w:id="3">
    <w:p w14:paraId="41A304FE" w14:textId="77777777" w:rsidR="00E75275" w:rsidRPr="00F837EE" w:rsidRDefault="00E75275" w:rsidP="00E75275">
      <w:pPr>
        <w:pStyle w:val="FootnoteText"/>
        <w:rPr>
          <w:rtl/>
        </w:rPr>
      </w:pPr>
      <w:r w:rsidRPr="00F837EE">
        <w:rPr>
          <w:rStyle w:val="FootnoteReference"/>
          <w:vertAlign w:val="baseline"/>
        </w:rPr>
        <w:footnoteRef/>
      </w:r>
      <w:r w:rsidRPr="00F837EE">
        <w:rPr>
          <w:rFonts w:hint="cs"/>
          <w:rtl/>
        </w:rPr>
        <w:t xml:space="preserve">. </w:t>
      </w:r>
      <w:r w:rsidRPr="00F837EE">
        <w:rPr>
          <w:rtl/>
        </w:rPr>
        <w:t>وعنه عن محمد بن يحيى عن احمد بن محمد عن العباس</w:t>
      </w:r>
      <w:r w:rsidRPr="00F837EE">
        <w:rPr>
          <w:rFonts w:hint="cs"/>
          <w:rtl/>
        </w:rPr>
        <w:t xml:space="preserve"> </w:t>
      </w:r>
      <w:r w:rsidRPr="00F837EE">
        <w:rPr>
          <w:rtl/>
          <w:lang w:bidi="ar-SA"/>
        </w:rPr>
        <w:t>ابن معروف عن علي بن مهزيار عن الحسين بن سعيد عن محمد بن الفضيل عن موسى ابن بكر قال : سألت ابا الحسن عليه‌السلام عن امرأة مصابة ولها مال في يد اخيها فهل عليه زكاة؟ فقال : ان كان اخوها يتجر به فعليه زكاة</w:t>
      </w:r>
      <w:r w:rsidRPr="00F837EE">
        <w:rPr>
          <w:rFonts w:hint="cs"/>
          <w:rtl/>
        </w:rPr>
        <w:t xml:space="preserve">. </w:t>
      </w:r>
      <w:hyperlink r:id="rId3" w:history="1">
        <w:r w:rsidRPr="00F837EE">
          <w:rPr>
            <w:rStyle w:val="Hyperlink"/>
            <w:rFonts w:hint="cs"/>
            <w:rtl/>
          </w:rPr>
          <w:t>تهذیب الأحکام، شیخ طوسی، ج ۴، ص ۳۱</w:t>
        </w:r>
      </w:hyperlink>
      <w:r w:rsidRPr="00F837EE">
        <w:rPr>
          <w:rFonts w:hint="cs"/>
          <w:rtl/>
        </w:rPr>
        <w:t>. جامع احادیث الشیعه، ج ۹، ص ۲۱۴، حدیث ۱۲۹۷۸.</w:t>
      </w:r>
    </w:p>
  </w:footnote>
  <w:footnote w:id="4">
    <w:p w14:paraId="26036E73" w14:textId="77777777" w:rsidR="00E75275" w:rsidRPr="00F837EE" w:rsidRDefault="00E75275" w:rsidP="00E75275">
      <w:pPr>
        <w:rPr>
          <w:sz w:val="20"/>
          <w:szCs w:val="20"/>
        </w:rPr>
      </w:pPr>
      <w:r w:rsidRPr="00F837EE">
        <w:rPr>
          <w:sz w:val="20"/>
          <w:szCs w:val="20"/>
        </w:rPr>
        <w:footnoteRef/>
      </w:r>
      <w:r w:rsidRPr="00F837EE">
        <w:rPr>
          <w:sz w:val="20"/>
          <w:szCs w:val="20"/>
          <w:rtl/>
        </w:rPr>
        <w:t xml:space="preserve">. رَوَى اِبْنُ‌ أَبِي عُمَيْرٍ عَنْ‌ حَبِيبٍ‌ الْخَثْعَمِيِّ‌ عَنْ‌ أَبِي عَبْدِ اللَّهِ‌ عَلَيْهِ‌ السَّلاَمُ‌ قَالَ‌: قُلْتُ‌ لَهُ‌ الرَّجُلُ‌ يَكُونُ‌ عِنْدَهُ‌ الْمَالُ‌ وَدِيعَةً‌ يَأْخُذُ مِنْهُ‌ بِغَيْرِ إِذْنِ‌ صَاحِبِهِ‌ قَالَ‌ «لاَ يَأْخُذْ إِلاَّ أَنْ‌ يَكُونَ‌ لَهُ‌ </w:t>
      </w:r>
      <w:r w:rsidRPr="00F837EE">
        <w:rPr>
          <w:rFonts w:hint="cs"/>
          <w:sz w:val="20"/>
          <w:szCs w:val="20"/>
          <w:rtl/>
        </w:rPr>
        <w:t>فداء</w:t>
      </w:r>
      <w:r w:rsidRPr="00F837EE">
        <w:rPr>
          <w:sz w:val="20"/>
          <w:szCs w:val="20"/>
          <w:rtl/>
        </w:rPr>
        <w:t>‌» وَ قَالَ‌ قُلْتُ‌ أَ رَأَيْتَ‌ إِنْ‌ وَجَدَ مَنْ‌ يَضْمَنُهُ‌ وَ لَمْ‌ يَكُنْ‌ لَهُ‌ وَفَاءٌ‌ وَ أَشْهَدَ عَلَى نَفْسِهِ‌ الَّذِي يَضْمَنُهُ‌ يَأْخُذُ مِنْهُ‌ قَالَ‌ «نَعَمْ‌»</w:t>
      </w:r>
      <w:r w:rsidRPr="00F837EE">
        <w:rPr>
          <w:rFonts w:hint="cs"/>
          <w:sz w:val="20"/>
          <w:szCs w:val="20"/>
          <w:rtl/>
        </w:rPr>
        <w:t xml:space="preserve">. </w:t>
      </w:r>
      <w:hyperlink r:id="rId4" w:history="1">
        <w:r w:rsidRPr="00F837EE">
          <w:rPr>
            <w:rStyle w:val="Hyperlink"/>
            <w:rFonts w:hint="cs"/>
            <w:sz w:val="20"/>
            <w:szCs w:val="20"/>
            <w:rtl/>
          </w:rPr>
          <w:t>من لایحضره الفقیه، شیخ صدوق، جامعه مدرسین، ج ۳، ص ۳۰۴</w:t>
        </w:r>
      </w:hyperlink>
      <w:r w:rsidRPr="00F837EE">
        <w:rPr>
          <w:sz w:val="20"/>
          <w:szCs w:val="20"/>
          <w:rtl/>
        </w:rPr>
        <w:t>.</w:t>
      </w:r>
      <w:r w:rsidRPr="00F837EE">
        <w:rPr>
          <w:rFonts w:hint="cs"/>
          <w:sz w:val="20"/>
          <w:szCs w:val="20"/>
          <w:rtl/>
        </w:rPr>
        <w:t xml:space="preserve"> جامع احادیث الشیعه، ج ۲۳، حدیث ۳۴۶۴۸.</w:t>
      </w:r>
    </w:p>
  </w:footnote>
  <w:footnote w:id="5">
    <w:p w14:paraId="6CB0F403" w14:textId="77777777" w:rsidR="00E75275" w:rsidRPr="00F837EE" w:rsidRDefault="00E75275" w:rsidP="00E75275">
      <w:pPr>
        <w:pStyle w:val="FootnoteText"/>
      </w:pPr>
      <w:r w:rsidRPr="00F837EE">
        <w:rPr>
          <w:rStyle w:val="FootnoteReference"/>
          <w:vertAlign w:val="baseline"/>
        </w:rPr>
        <w:footnoteRef/>
      </w:r>
      <w:r w:rsidRPr="00F837EE">
        <w:rPr>
          <w:rtl/>
        </w:rPr>
        <w:t xml:space="preserve">. </w:t>
      </w:r>
      <w:r w:rsidRPr="00F837EE">
        <w:rPr>
          <w:rtl/>
          <w:lang w:bidi="ar-SA"/>
        </w:rPr>
        <w:t>وَ سَأَلْتُهُ عَنْ رَجُلٍ كَانَتْ عِنْدَهُ وَدِيعَةٌ لِرَجُلٍ، فَاحْتَاجَ إِلَيْهَا، هَلْ يَصْلُحُ لَهُ أَنْ يَأْخُذَ مِنْهَا وَ هُوَ مُجْمِعٌ أَنْ يَرُدَّهَا، بِغَيْرِ إِذْنِ صَاحِبِهَا؟ قَالَ</w:t>
      </w:r>
      <w:r w:rsidRPr="00F837EE">
        <w:rPr>
          <w:rFonts w:hint="cs"/>
          <w:rtl/>
          <w:lang w:bidi="ar-SA"/>
        </w:rPr>
        <w:t>: «</w:t>
      </w:r>
      <w:r w:rsidRPr="00F837EE">
        <w:rPr>
          <w:rtl/>
          <w:lang w:bidi="ar-SA"/>
        </w:rPr>
        <w:t xml:space="preserve">إِذَا كَانَ عِنْدَهُ </w:t>
      </w:r>
      <w:r w:rsidRPr="00F837EE">
        <w:rPr>
          <w:rFonts w:hint="cs"/>
          <w:rtl/>
          <w:lang w:bidi="ar-SA"/>
        </w:rPr>
        <w:t xml:space="preserve">[وفاء - سرائر] </w:t>
      </w:r>
      <w:r w:rsidRPr="00F837EE">
        <w:rPr>
          <w:rtl/>
          <w:lang w:bidi="ar-SA"/>
        </w:rPr>
        <w:t>فَلَا بَأْسَ أَنْ يَأْخُذَ وَ يَرُدَّهُ</w:t>
      </w:r>
      <w:r w:rsidRPr="00F837EE">
        <w:rPr>
          <w:rFonts w:hint="cs"/>
          <w:rtl/>
        </w:rPr>
        <w:t xml:space="preserve">». </w:t>
      </w:r>
      <w:hyperlink r:id="rId5" w:history="1">
        <w:r w:rsidRPr="00F837EE">
          <w:rPr>
            <w:rStyle w:val="Hyperlink"/>
            <w:rFonts w:hint="cs"/>
            <w:rtl/>
          </w:rPr>
          <w:t>قرب الاسناد، ابوالعباس الحمیری، ص ۲۸۴</w:t>
        </w:r>
      </w:hyperlink>
      <w:r w:rsidRPr="00F837EE">
        <w:rPr>
          <w:rFonts w:hint="cs"/>
          <w:rtl/>
        </w:rPr>
        <w:t>. جامع احادیث الشیعه، ج ۲۳، ص ۵۹۱، حدیث ۳۴۶۴۹.</w:t>
      </w:r>
    </w:p>
  </w:footnote>
  <w:footnote w:id="6">
    <w:p w14:paraId="5B8E06CE" w14:textId="77777777" w:rsidR="00E75275" w:rsidRPr="00F837EE" w:rsidRDefault="00E75275" w:rsidP="00E75275">
      <w:pPr>
        <w:pStyle w:val="FootnoteText"/>
      </w:pPr>
      <w:r w:rsidRPr="00F837EE">
        <w:rPr>
          <w:rStyle w:val="FootnoteReference"/>
          <w:vertAlign w:val="baseline"/>
        </w:rPr>
        <w:footnoteRef/>
      </w:r>
      <w:r w:rsidRPr="00F837EE">
        <w:rPr>
          <w:rFonts w:hint="cs"/>
          <w:rtl/>
        </w:rPr>
        <w:t xml:space="preserve">. </w:t>
      </w:r>
      <w:r w:rsidRPr="00F837EE">
        <w:t> </w:t>
      </w:r>
      <w:r w:rsidRPr="00F837EE">
        <w:rPr>
          <w:rtl/>
        </w:rPr>
        <w:t>سَهْلُ بْنُ زِيَادٍ عَنِ ابْنِ مَحْبُوبٍ عَنِ الْعَلَاءِ بْنِ رَزِينٍ عَنْ مُحَمَّدِ بْنِ مُسْلِمٍ عَنْ‌</w:t>
      </w:r>
      <w:r w:rsidRPr="00F837EE">
        <w:rPr>
          <w:rFonts w:hint="cs"/>
          <w:rtl/>
        </w:rPr>
        <w:t xml:space="preserve"> </w:t>
      </w:r>
      <w:r w:rsidRPr="00F837EE">
        <w:rPr>
          <w:rtl/>
        </w:rPr>
        <w:t>أَبِي جَعْفَرٍ ع قَالَ</w:t>
      </w:r>
      <w:r w:rsidRPr="00F837EE">
        <w:t>: </w:t>
      </w:r>
      <w:r w:rsidRPr="00F837EE">
        <w:rPr>
          <w:rtl/>
        </w:rPr>
        <w:t>سَأَلْتُهُ عَنِ الرَّجُلِ يَحْتَاجُ إِلَى مَالِ ابْنِهِ قَالَ يَأْكُلُ مِنْهُ مَا شَاءَ مِنْ غَيْرِ سَرَفٍ وَ قَالَ فِي كِتَابِ عَلِيٍّ ع إِنَّ الْوَلَدَ لَا يَأْخُذُ مِنْ مَالِ وَالِدِهِ شَيْئاً إِلَّا بِإِذْنِهِ وَ الْوَالِدَ يَأْخُذُ مِنْ مَالِ ابْنِهِ مَا شَاءَ وَ لَهُ أَنْ يَقَعَ عَلَى جَارِيَةِ ابْنِهِ إِذَا لَمْ يَكُنِ الِابْنُ وَقَعَ عَلَيْهَا وَ ذَكَرَ أَنَّ رَسُولَ اللَّهِ ص قَالَ لِرَجُلٍ أَنْتَ وَ مَالُكَ لِأَبِيكَ</w:t>
      </w:r>
      <w:r w:rsidRPr="00F837EE">
        <w:rPr>
          <w:rFonts w:hint="cs"/>
          <w:rtl/>
        </w:rPr>
        <w:t>.</w:t>
      </w:r>
      <w:r w:rsidRPr="00F837EE">
        <w:t xml:space="preserve"> </w:t>
      </w:r>
      <w:hyperlink r:id="rId6" w:history="1">
        <w:r w:rsidRPr="00F837EE">
          <w:rPr>
            <w:rStyle w:val="Hyperlink"/>
            <w:rFonts w:hint="cs"/>
            <w:rtl/>
          </w:rPr>
          <w:t>الكافي (ط - الإسلامية)، ج ‏۵، ص ۱۳۶</w:t>
        </w:r>
      </w:hyperlink>
      <w:r w:rsidRPr="00F837EE">
        <w:rPr>
          <w:rFonts w:hint="cs"/>
          <w:rtl/>
        </w:rPr>
        <w:t>. جامع احادیث الشیعه، ج ۲۲ حدیث ۳۲۵۵۵ به بعد.</w:t>
      </w:r>
    </w:p>
  </w:footnote>
  <w:footnote w:id="7">
    <w:p w14:paraId="72A80671" w14:textId="77777777" w:rsidR="00E75275" w:rsidRPr="00F837EE" w:rsidRDefault="00E75275" w:rsidP="00E75275">
      <w:pPr>
        <w:pStyle w:val="FootnoteText"/>
      </w:pPr>
      <w:r w:rsidRPr="00F837EE">
        <w:rPr>
          <w:rStyle w:val="FootnoteReference"/>
          <w:vertAlign w:val="baseline"/>
        </w:rPr>
        <w:footnoteRef/>
      </w:r>
      <w:r w:rsidRPr="00F837EE">
        <w:rPr>
          <w:rFonts w:hint="cs"/>
          <w:rtl/>
        </w:rPr>
        <w:t xml:space="preserve">. </w:t>
      </w:r>
      <w:hyperlink r:id="rId7" w:history="1">
        <w:r w:rsidRPr="00F837EE">
          <w:rPr>
            <w:rStyle w:val="Hyperlink"/>
            <w:rFonts w:hint="cs"/>
            <w:rtl/>
          </w:rPr>
          <w:t>الكافي (ط - الإسلامية)، ج ‏۵، ص ۱۲۸</w:t>
        </w:r>
      </w:hyperlink>
      <w:r w:rsidRPr="00F837EE">
        <w:rPr>
          <w:rFonts w:hint="cs"/>
          <w:rtl/>
        </w:rPr>
        <w:t>. جامع احادیث الشیعة، ج ۲۲، ص ۴۷۴، حدیث ۳۲۵۴۴.</w:t>
      </w:r>
    </w:p>
  </w:footnote>
  <w:footnote w:id="8">
    <w:p w14:paraId="330C15B0" w14:textId="77777777" w:rsidR="00E75275" w:rsidRPr="00F837EE" w:rsidRDefault="00E75275" w:rsidP="00E75275">
      <w:pPr>
        <w:pStyle w:val="FootnoteText"/>
        <w:rPr>
          <w:rtl/>
        </w:rPr>
      </w:pPr>
      <w:r w:rsidRPr="00F837EE">
        <w:rPr>
          <w:rStyle w:val="FootnoteReference"/>
          <w:vertAlign w:val="baseline"/>
        </w:rPr>
        <w:footnoteRef/>
      </w:r>
      <w:r w:rsidRPr="00F837EE">
        <w:rPr>
          <w:rtl/>
        </w:rPr>
        <w:t xml:space="preserve">. </w:t>
      </w:r>
      <w:hyperlink r:id="rId8" w:history="1">
        <w:r w:rsidRPr="00F837EE">
          <w:rPr>
            <w:rStyle w:val="Hyperlink"/>
            <w:rFonts w:hint="cs"/>
            <w:rtl/>
          </w:rPr>
          <w:t>من لایحضره الفقیه، شیخ صدوق، جامعه مدرسین، ج ۳، ص ۳۰۴</w:t>
        </w:r>
      </w:hyperlink>
      <w:r w:rsidRPr="00F837EE">
        <w:rPr>
          <w:rtl/>
        </w:rPr>
        <w:t>.</w:t>
      </w:r>
      <w:r w:rsidRPr="00F837EE">
        <w:rPr>
          <w:rFonts w:hint="cs"/>
          <w:rtl/>
        </w:rPr>
        <w:t xml:space="preserve"> جامع احادیث الشیعه، ج ۲۳، حدیث ۳۴۶۴۸.</w:t>
      </w:r>
    </w:p>
  </w:footnote>
  <w:footnote w:id="9">
    <w:p w14:paraId="71A8C57F" w14:textId="77777777" w:rsidR="00E75275" w:rsidRPr="00F837EE" w:rsidRDefault="00E75275" w:rsidP="00E75275">
      <w:pPr>
        <w:pStyle w:val="FootnoteText"/>
      </w:pPr>
      <w:r w:rsidRPr="00F837EE">
        <w:rPr>
          <w:rStyle w:val="FootnoteReference"/>
          <w:vertAlign w:val="baseline"/>
        </w:rPr>
        <w:footnoteRef/>
      </w:r>
      <w:r w:rsidRPr="00F837EE">
        <w:rPr>
          <w:rFonts w:hint="cs"/>
          <w:rtl/>
        </w:rPr>
        <w:t xml:space="preserve">. </w:t>
      </w:r>
      <w:hyperlink r:id="rId9" w:history="1">
        <w:r w:rsidRPr="00F837EE">
          <w:rPr>
            <w:rStyle w:val="Hyperlink"/>
            <w:rFonts w:hint="cs"/>
            <w:rtl/>
          </w:rPr>
          <w:t>قرب الاسناد، ابوالعباس الحمیری، ص ۲۸۴</w:t>
        </w:r>
      </w:hyperlink>
      <w:r w:rsidRPr="00F837EE">
        <w:rPr>
          <w:rFonts w:hint="cs"/>
          <w:rtl/>
        </w:rPr>
        <w:t>.</w:t>
      </w:r>
    </w:p>
  </w:footnote>
  <w:footnote w:id="10">
    <w:p w14:paraId="72AD7AB1" w14:textId="77777777" w:rsidR="00E75275" w:rsidRPr="00F837EE" w:rsidRDefault="00E75275" w:rsidP="00E75275">
      <w:pPr>
        <w:pStyle w:val="FootnoteText"/>
      </w:pPr>
      <w:r w:rsidRPr="00F837EE">
        <w:rPr>
          <w:rStyle w:val="FootnoteReference"/>
          <w:vertAlign w:val="baseline"/>
        </w:rPr>
        <w:footnoteRef/>
      </w:r>
      <w:r w:rsidRPr="00F837EE">
        <w:rPr>
          <w:rFonts w:hint="cs"/>
          <w:rtl/>
        </w:rPr>
        <w:t xml:space="preserve">. </w:t>
      </w:r>
      <w:hyperlink r:id="rId10" w:history="1">
        <w:r w:rsidRPr="00F837EE">
          <w:rPr>
            <w:rStyle w:val="Hyperlink"/>
            <w:rFonts w:hint="cs"/>
            <w:rtl/>
          </w:rPr>
          <w:t>تهذیب الأحکام، شیخ طوسی، ج ۶، ص ۳۴۵</w:t>
        </w:r>
      </w:hyperlink>
      <w:r w:rsidRPr="00F837EE">
        <w:rPr>
          <w:rFonts w:hint="cs"/>
          <w:rtl/>
        </w:rPr>
        <w:t>.</w:t>
      </w:r>
    </w:p>
  </w:footnote>
  <w:footnote w:id="11">
    <w:p w14:paraId="0448C553" w14:textId="77777777" w:rsidR="00E75275" w:rsidRPr="00F837EE" w:rsidRDefault="00E75275" w:rsidP="00E75275">
      <w:pPr>
        <w:pStyle w:val="FootnoteText"/>
      </w:pPr>
      <w:r w:rsidRPr="00F837EE">
        <w:rPr>
          <w:rStyle w:val="FootnoteReference"/>
          <w:vertAlign w:val="baseline"/>
        </w:rPr>
        <w:footnoteRef/>
      </w:r>
      <w:r w:rsidRPr="00F837EE">
        <w:rPr>
          <w:rFonts w:hint="cs"/>
          <w:rtl/>
        </w:rPr>
        <w:t xml:space="preserve">. </w:t>
      </w:r>
      <w:hyperlink r:id="rId11" w:history="1">
        <w:r w:rsidRPr="00F837EE">
          <w:rPr>
            <w:rStyle w:val="Hyperlink"/>
            <w:rFonts w:hint="cs"/>
            <w:rtl/>
          </w:rPr>
          <w:t>قرب الاسناد، ابوالعباس الحمیری، ص ۲۸۵</w:t>
        </w:r>
      </w:hyperlink>
      <w:r w:rsidRPr="00F837EE">
        <w:rPr>
          <w:rFonts w:hint="cs"/>
          <w:rtl/>
        </w:rPr>
        <w:t>. جامع احادیث الشیعه، ج ۲۲، ص ۴۸۰، حدیث ۳۲۵۶۲.</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EFBDCD" w14:textId="7C2FD594" w:rsidR="00120B57" w:rsidRPr="00A37D61" w:rsidRDefault="00120B57" w:rsidP="00120B57">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sidRPr="00A37D61">
      <w:rPr>
        <w:rFonts w:hint="cs"/>
        <w:b/>
        <w:bCs/>
        <w:sz w:val="20"/>
        <w:szCs w:val="24"/>
        <w:rtl/>
      </w:rPr>
      <w:t xml:space="preserve">  </w:t>
    </w:r>
    <w:r w:rsidRPr="00A37D61">
      <w:rPr>
        <w:rFonts w:hint="cs"/>
        <w:b/>
        <w:bCs/>
        <w:color w:val="7030A0"/>
        <w:sz w:val="20"/>
        <w:szCs w:val="24"/>
        <w:rtl/>
      </w:rPr>
      <w:t>شماره جلسه</w:t>
    </w:r>
    <w:r w:rsidRPr="00A37D61">
      <w:rPr>
        <w:rFonts w:hint="cs"/>
        <w:b/>
        <w:bCs/>
        <w:sz w:val="20"/>
        <w:szCs w:val="24"/>
        <w:rtl/>
      </w:rPr>
      <w:t xml:space="preserve">: </w:t>
    </w:r>
    <w:bookmarkStart w:id="17" w:name="BokNum"/>
    <w:bookmarkEnd w:id="17"/>
    <w:r w:rsidR="004D1EFF">
      <w:rPr>
        <w:rFonts w:hint="cs"/>
        <w:b/>
        <w:bCs/>
        <w:sz w:val="20"/>
        <w:szCs w:val="24"/>
        <w:rtl/>
      </w:rPr>
      <w:t>۱۱۱</w:t>
    </w:r>
    <w:r w:rsidRPr="00A37D61">
      <w:rPr>
        <w:rFonts w:hint="cs"/>
        <w:b/>
        <w:bCs/>
        <w:sz w:val="20"/>
        <w:szCs w:val="24"/>
        <w:rtl/>
      </w:rPr>
      <w:tab/>
    </w:r>
    <w:r w:rsidRPr="00A37D61">
      <w:rPr>
        <w:rFonts w:hint="cs"/>
        <w:b/>
        <w:bCs/>
        <w:color w:val="632423" w:themeColor="accent2" w:themeShade="80"/>
        <w:sz w:val="20"/>
        <w:szCs w:val="24"/>
        <w:rtl/>
      </w:rPr>
      <w:t xml:space="preserve">درس خارج </w:t>
    </w:r>
    <w:bookmarkStart w:id="18" w:name="Bokdars"/>
    <w:bookmarkEnd w:id="18"/>
    <w:r w:rsidRPr="00A37D61">
      <w:rPr>
        <w:b/>
        <w:bCs/>
        <w:color w:val="632423" w:themeColor="accent2" w:themeShade="80"/>
        <w:sz w:val="20"/>
        <w:szCs w:val="24"/>
        <w:rtl/>
      </w:rPr>
      <w:t>فقه</w:t>
    </w:r>
    <w:r w:rsidRPr="00A37D61">
      <w:rPr>
        <w:rFonts w:hint="cs"/>
        <w:b/>
        <w:bCs/>
        <w:color w:val="632423" w:themeColor="accent2" w:themeShade="80"/>
        <w:sz w:val="20"/>
        <w:szCs w:val="24"/>
        <w:rtl/>
      </w:rPr>
      <w:t xml:space="preserve"> استاد </w:t>
    </w:r>
    <w:bookmarkStart w:id="19" w:name="Bokostad"/>
    <w:bookmarkEnd w:id="19"/>
    <w:r w:rsidRPr="00A37D61">
      <w:rPr>
        <w:b/>
        <w:bCs/>
        <w:color w:val="632423" w:themeColor="accent2" w:themeShade="80"/>
        <w:sz w:val="20"/>
        <w:szCs w:val="24"/>
        <w:rtl/>
      </w:rPr>
      <w:t>س</w:t>
    </w:r>
    <w:r w:rsidRPr="00A37D61">
      <w:rPr>
        <w:rFonts w:hint="cs"/>
        <w:b/>
        <w:bCs/>
        <w:color w:val="632423" w:themeColor="accent2" w:themeShade="80"/>
        <w:sz w:val="20"/>
        <w:szCs w:val="24"/>
        <w:rtl/>
      </w:rPr>
      <w:t>ی</w:t>
    </w:r>
    <w:r w:rsidRPr="00A37D61">
      <w:rPr>
        <w:rFonts w:hint="eastAsia"/>
        <w:b/>
        <w:bCs/>
        <w:color w:val="632423" w:themeColor="accent2" w:themeShade="80"/>
        <w:sz w:val="20"/>
        <w:szCs w:val="24"/>
        <w:rtl/>
      </w:rPr>
      <w:t>د</w:t>
    </w:r>
    <w:r w:rsidRPr="00A37D61">
      <w:rPr>
        <w:b/>
        <w:bCs/>
        <w:color w:val="632423" w:themeColor="accent2" w:themeShade="80"/>
        <w:sz w:val="20"/>
        <w:szCs w:val="24"/>
        <w:rtl/>
      </w:rPr>
      <w:t xml:space="preserve"> محمد جواد شب</w:t>
    </w:r>
    <w:r w:rsidRPr="00A37D61">
      <w:rPr>
        <w:rFonts w:hint="cs"/>
        <w:b/>
        <w:bCs/>
        <w:color w:val="632423" w:themeColor="accent2" w:themeShade="80"/>
        <w:sz w:val="20"/>
        <w:szCs w:val="24"/>
        <w:rtl/>
      </w:rPr>
      <w:t>ی</w:t>
    </w:r>
    <w:r w:rsidRPr="00A37D61">
      <w:rPr>
        <w:rFonts w:hint="eastAsia"/>
        <w:b/>
        <w:bCs/>
        <w:color w:val="632423" w:themeColor="accent2" w:themeShade="80"/>
        <w:sz w:val="20"/>
        <w:szCs w:val="24"/>
        <w:rtl/>
      </w:rPr>
      <w:t>ر</w:t>
    </w:r>
    <w:r w:rsidRPr="00A37D61">
      <w:rPr>
        <w:rFonts w:hint="cs"/>
        <w:b/>
        <w:bCs/>
        <w:color w:val="632423" w:themeColor="accent2" w:themeShade="80"/>
        <w:sz w:val="20"/>
        <w:szCs w:val="24"/>
        <w:rtl/>
      </w:rPr>
      <w:t>ی</w:t>
    </w:r>
    <w:r w:rsidRPr="00A37D61">
      <w:rPr>
        <w:rFonts w:hint="cs"/>
        <w:b/>
        <w:bCs/>
        <w:color w:val="632423" w:themeColor="accent2" w:themeShade="80"/>
        <w:sz w:val="14"/>
        <w:szCs w:val="14"/>
        <w:rtl/>
      </w:rPr>
      <w:t>(</w:t>
    </w:r>
    <w:r w:rsidRPr="00A37D61">
      <w:rPr>
        <w:rFonts w:ascii="Times New Roman" w:hAnsi="Times New Roman" w:hint="cs"/>
        <w:b/>
        <w:bCs/>
        <w:color w:val="632423" w:themeColor="accent2" w:themeShade="80"/>
        <w:sz w:val="14"/>
        <w:szCs w:val="14"/>
        <w:rtl/>
      </w:rPr>
      <w:t>دام</w:t>
    </w:r>
    <w:r w:rsidRPr="00A37D61">
      <w:rPr>
        <w:rFonts w:hint="cs"/>
        <w:b/>
        <w:bCs/>
        <w:color w:val="632423" w:themeColor="accent2" w:themeShade="80"/>
        <w:sz w:val="14"/>
        <w:szCs w:val="14"/>
        <w:rtl/>
      </w:rPr>
      <w:t xml:space="preserve"> </w:t>
    </w:r>
    <w:r w:rsidRPr="00A37D61">
      <w:rPr>
        <w:rFonts w:ascii="Times New Roman" w:hAnsi="Times New Roman" w:hint="cs"/>
        <w:b/>
        <w:bCs/>
        <w:color w:val="632423" w:themeColor="accent2" w:themeShade="80"/>
        <w:sz w:val="14"/>
        <w:szCs w:val="14"/>
        <w:rtl/>
      </w:rPr>
      <w:t>ظله</w:t>
    </w:r>
    <w:r w:rsidRPr="00A37D61">
      <w:rPr>
        <w:rFonts w:hint="cs"/>
        <w:b/>
        <w:bCs/>
        <w:color w:val="632423" w:themeColor="accent2" w:themeShade="80"/>
        <w:sz w:val="14"/>
        <w:szCs w:val="14"/>
        <w:rtl/>
      </w:rPr>
      <w:t>)</w:t>
    </w:r>
    <w:r>
      <w:rPr>
        <w:rFonts w:cs="Alaem" w:hint="cs"/>
        <w:b/>
        <w:bCs/>
        <w:color w:val="632423" w:themeColor="accent2" w:themeShade="80"/>
        <w:sz w:val="14"/>
        <w:szCs w:val="14"/>
        <w:rtl/>
      </w:rPr>
      <w:tab/>
    </w:r>
    <w:r w:rsidRPr="00A37D61">
      <w:rPr>
        <w:rFonts w:hint="cs"/>
        <w:b/>
        <w:bCs/>
        <w:color w:val="7030A0"/>
        <w:sz w:val="24"/>
        <w:szCs w:val="24"/>
        <w:rtl/>
      </w:rPr>
      <w:t>تاریخ</w:t>
    </w:r>
    <w:r w:rsidRPr="00A37D61">
      <w:rPr>
        <w:rFonts w:hint="cs"/>
        <w:sz w:val="24"/>
        <w:szCs w:val="24"/>
        <w:rtl/>
      </w:rPr>
      <w:t xml:space="preserve">: </w:t>
    </w:r>
    <w:bookmarkStart w:id="20" w:name="BokTarikh"/>
    <w:bookmarkEnd w:id="20"/>
    <w:r w:rsidR="004D1EFF">
      <w:rPr>
        <w:rFonts w:hint="cs"/>
        <w:sz w:val="24"/>
        <w:szCs w:val="24"/>
        <w:rtl/>
      </w:rPr>
      <w:t>۱۰</w:t>
    </w:r>
    <w:r w:rsidRPr="00A37D61">
      <w:rPr>
        <w:sz w:val="24"/>
        <w:szCs w:val="24"/>
        <w:rtl/>
      </w:rPr>
      <w:t xml:space="preserve"> /</w:t>
    </w:r>
    <w:r w:rsidR="002D45D5">
      <w:rPr>
        <w:rFonts w:hint="cs"/>
        <w:sz w:val="24"/>
        <w:szCs w:val="24"/>
        <w:rtl/>
      </w:rPr>
      <w:t>۳</w:t>
    </w:r>
    <w:r w:rsidRPr="00A37D61">
      <w:rPr>
        <w:sz w:val="24"/>
        <w:szCs w:val="24"/>
        <w:rtl/>
      </w:rPr>
      <w:t xml:space="preserve"> /140</w:t>
    </w:r>
    <w:r w:rsidR="00CC7B6C">
      <w:rPr>
        <w:rFonts w:hint="cs"/>
        <w:sz w:val="24"/>
        <w:szCs w:val="24"/>
        <w:rtl/>
      </w:rPr>
      <w:t>۱</w:t>
    </w:r>
  </w:p>
  <w:p w14:paraId="5D8A5E22" w14:textId="72091ADE" w:rsidR="00FA3B17" w:rsidRPr="00120B57" w:rsidRDefault="00120B57" w:rsidP="00120B57">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sidRPr="00A37D61">
      <w:rPr>
        <w:rFonts w:hint="cs"/>
        <w:b/>
        <w:bCs/>
        <w:color w:val="7030A0"/>
        <w:sz w:val="24"/>
        <w:szCs w:val="24"/>
        <w:rtl/>
      </w:rPr>
      <w:t>موضوع عام:</w:t>
    </w:r>
    <w:r w:rsidRPr="00A37D61">
      <w:rPr>
        <w:rFonts w:hint="cs"/>
        <w:color w:val="000000" w:themeColor="text1"/>
        <w:sz w:val="24"/>
        <w:szCs w:val="24"/>
        <w:rtl/>
      </w:rPr>
      <w:t xml:space="preserve"> </w:t>
    </w:r>
    <w:bookmarkStart w:id="21" w:name="BokSabj"/>
    <w:bookmarkEnd w:id="21"/>
    <w:r w:rsidRPr="00A37D61">
      <w:rPr>
        <w:color w:val="000000" w:themeColor="text1"/>
        <w:sz w:val="24"/>
        <w:szCs w:val="24"/>
        <w:rtl/>
      </w:rPr>
      <w:t>من تجب عل</w:t>
    </w:r>
    <w:r w:rsidRPr="00A37D61">
      <w:rPr>
        <w:rFonts w:hint="cs"/>
        <w:color w:val="000000" w:themeColor="text1"/>
        <w:sz w:val="24"/>
        <w:szCs w:val="24"/>
        <w:rtl/>
      </w:rPr>
      <w:t>ی</w:t>
    </w:r>
    <w:r w:rsidRPr="00A37D61">
      <w:rPr>
        <w:rFonts w:hint="eastAsia"/>
        <w:color w:val="000000" w:themeColor="text1"/>
        <w:sz w:val="24"/>
        <w:szCs w:val="24"/>
        <w:rtl/>
      </w:rPr>
      <w:t>ه</w:t>
    </w:r>
    <w:r w:rsidRPr="00A37D61">
      <w:rPr>
        <w:color w:val="000000" w:themeColor="text1"/>
        <w:sz w:val="24"/>
        <w:szCs w:val="24"/>
        <w:rtl/>
      </w:rPr>
      <w:t xml:space="preserve"> الزکاه</w:t>
    </w:r>
    <w:r w:rsidRPr="00A37D61">
      <w:rPr>
        <w:rFonts w:hint="cs"/>
        <w:color w:val="000000" w:themeColor="text1"/>
        <w:sz w:val="24"/>
        <w:szCs w:val="24"/>
        <w:rtl/>
      </w:rPr>
      <w:t xml:space="preserve">  </w:t>
    </w:r>
    <w:r w:rsidRPr="00A37D61">
      <w:rPr>
        <w:rFonts w:hint="cs"/>
        <w:color w:val="000000" w:themeColor="text1"/>
        <w:sz w:val="24"/>
        <w:szCs w:val="24"/>
        <w:rtl/>
      </w:rPr>
      <w:tab/>
    </w:r>
    <w:r w:rsidRPr="00A37D61">
      <w:rPr>
        <w:rFonts w:hint="cs"/>
        <w:b/>
        <w:bCs/>
        <w:color w:val="7030A0"/>
        <w:sz w:val="24"/>
        <w:szCs w:val="24"/>
        <w:rtl/>
      </w:rPr>
      <w:t>مقرر</w:t>
    </w:r>
    <w:r w:rsidRPr="00A37D61">
      <w:rPr>
        <w:rFonts w:hint="cs"/>
        <w:sz w:val="24"/>
        <w:szCs w:val="24"/>
        <w:rtl/>
      </w:rPr>
      <w:t xml:space="preserve">: </w:t>
    </w:r>
    <w:bookmarkStart w:id="22" w:name="Bokmoqarer"/>
    <w:bookmarkEnd w:id="22"/>
    <w:r w:rsidRPr="00A37D61">
      <w:rPr>
        <w:rFonts w:hint="cs"/>
        <w:sz w:val="24"/>
        <w:szCs w:val="24"/>
        <w:rtl/>
      </w:rPr>
      <w:t xml:space="preserve">علی محمودزاده </w:t>
    </w:r>
    <w:r w:rsidRPr="00A37D61">
      <w:rPr>
        <w:sz w:val="24"/>
        <w:szCs w:val="24"/>
        <w:rtl/>
      </w:rPr>
      <w:t xml:space="preserve"> </w:t>
    </w:r>
    <w:r w:rsidRPr="00A37D61">
      <w:rPr>
        <w:rFonts w:hint="cs"/>
        <w:sz w:val="24"/>
        <w:szCs w:val="24"/>
        <w:rtl/>
      </w:rPr>
      <w:t xml:space="preserve"> </w:t>
    </w:r>
    <w:r w:rsidRPr="00A37D61">
      <w:rPr>
        <w:rFonts w:hint="cs"/>
        <w:sz w:val="24"/>
        <w:szCs w:val="24"/>
        <w:rtl/>
      </w:rPr>
      <w:tab/>
    </w:r>
    <w:r w:rsidRPr="00A37D61">
      <w:rPr>
        <w:rFonts w:hint="cs"/>
        <w:b/>
        <w:bCs/>
        <w:color w:val="7030A0"/>
        <w:sz w:val="24"/>
        <w:szCs w:val="24"/>
        <w:rtl/>
      </w:rPr>
      <w:t>موضوع خاص</w:t>
    </w:r>
    <w:r w:rsidRPr="00A37D61">
      <w:rPr>
        <w:rFonts w:hint="cs"/>
        <w:sz w:val="24"/>
        <w:szCs w:val="24"/>
        <w:rtl/>
      </w:rPr>
      <w:t xml:space="preserve">: </w:t>
    </w:r>
    <w:bookmarkStart w:id="23" w:name="BokSabj2"/>
    <w:bookmarkEnd w:id="23"/>
    <w:r w:rsidRPr="00A37D61">
      <w:rPr>
        <w:rFonts w:hint="cs"/>
        <w:sz w:val="24"/>
        <w:szCs w:val="24"/>
        <w:rtl/>
      </w:rPr>
      <w:t>زکات مال التجاره</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1">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2">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3">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4">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5">
    <w:nsid w:val="0D8608C9"/>
    <w:multiLevelType w:val="hybridMultilevel"/>
    <w:tmpl w:val="8018C1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79E4ECC"/>
    <w:multiLevelType w:val="hybridMultilevel"/>
    <w:tmpl w:val="C2769D94"/>
    <w:lvl w:ilvl="0" w:tplc="0409000F">
      <w:start w:val="1"/>
      <w:numFmt w:val="decimal"/>
      <w:lvlText w:val="%1."/>
      <w:lvlJc w:val="left"/>
      <w:pPr>
        <w:ind w:left="720" w:hanging="360"/>
      </w:pPr>
      <w:rPr>
        <w:rFonts w:hint="default"/>
      </w:rPr>
    </w:lvl>
    <w:lvl w:ilvl="1" w:tplc="FFFFFFFF">
      <w:start w:val="1"/>
      <w:numFmt w:val="decimal"/>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nsid w:val="20481CB9"/>
    <w:multiLevelType w:val="hybridMultilevel"/>
    <w:tmpl w:val="DCF400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7FF29A7"/>
    <w:multiLevelType w:val="hybridMultilevel"/>
    <w:tmpl w:val="40E285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D0C3D53"/>
    <w:multiLevelType w:val="hybridMultilevel"/>
    <w:tmpl w:val="62B899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5EE53DA"/>
    <w:multiLevelType w:val="hybridMultilevel"/>
    <w:tmpl w:val="28B27C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5B06B70"/>
    <w:multiLevelType w:val="hybridMultilevel"/>
    <w:tmpl w:val="E22E9F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D463D2D"/>
    <w:multiLevelType w:val="hybridMultilevel"/>
    <w:tmpl w:val="58F65C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
  </w:num>
  <w:num w:numId="3">
    <w:abstractNumId w:val="2"/>
  </w:num>
  <w:num w:numId="4">
    <w:abstractNumId w:val="1"/>
  </w:num>
  <w:num w:numId="5">
    <w:abstractNumId w:val="0"/>
  </w:num>
  <w:num w:numId="6">
    <w:abstractNumId w:val="6"/>
  </w:num>
  <w:num w:numId="7">
    <w:abstractNumId w:val="12"/>
  </w:num>
  <w:num w:numId="8">
    <w:abstractNumId w:val="5"/>
  </w:num>
  <w:num w:numId="9">
    <w:abstractNumId w:val="8"/>
  </w:num>
  <w:num w:numId="10">
    <w:abstractNumId w:val="10"/>
  </w:num>
  <w:num w:numId="11">
    <w:abstractNumId w:val="7"/>
  </w:num>
  <w:num w:numId="12">
    <w:abstractNumId w:val="11"/>
  </w:num>
  <w:num w:numId="13">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aveSubsetFonts/>
  <w:proofState w:spelling="clean" w:grammar="clean"/>
  <w:attachedTemplate r:id="rId1"/>
  <w:stylePaneSortMethod w:val="0000"/>
  <w:defaultTabStop w:val="720"/>
  <w:characterSpacingControl w:val="doNotCompress"/>
  <w:hdrShapeDefaults>
    <o:shapedefaults v:ext="edit" spidmax="4097"/>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38E8"/>
    <w:rsid w:val="000072A3"/>
    <w:rsid w:val="00013C38"/>
    <w:rsid w:val="00017846"/>
    <w:rsid w:val="00017F29"/>
    <w:rsid w:val="0002378D"/>
    <w:rsid w:val="00025777"/>
    <w:rsid w:val="00025B70"/>
    <w:rsid w:val="00030509"/>
    <w:rsid w:val="000353D7"/>
    <w:rsid w:val="000412B9"/>
    <w:rsid w:val="00041ADD"/>
    <w:rsid w:val="00047015"/>
    <w:rsid w:val="00047DDC"/>
    <w:rsid w:val="00051008"/>
    <w:rsid w:val="00055496"/>
    <w:rsid w:val="00075A31"/>
    <w:rsid w:val="0007664A"/>
    <w:rsid w:val="0007678C"/>
    <w:rsid w:val="00076928"/>
    <w:rsid w:val="00080A41"/>
    <w:rsid w:val="0008299B"/>
    <w:rsid w:val="0008751D"/>
    <w:rsid w:val="000913AA"/>
    <w:rsid w:val="00094847"/>
    <w:rsid w:val="0009493B"/>
    <w:rsid w:val="00096C63"/>
    <w:rsid w:val="000B5DB5"/>
    <w:rsid w:val="000C3947"/>
    <w:rsid w:val="000C7065"/>
    <w:rsid w:val="000D2A37"/>
    <w:rsid w:val="000D30E9"/>
    <w:rsid w:val="000D6818"/>
    <w:rsid w:val="000E32CE"/>
    <w:rsid w:val="000E335E"/>
    <w:rsid w:val="000E7C9D"/>
    <w:rsid w:val="000F16CF"/>
    <w:rsid w:val="000F18CD"/>
    <w:rsid w:val="000F2F9E"/>
    <w:rsid w:val="000F3982"/>
    <w:rsid w:val="000F5BAC"/>
    <w:rsid w:val="00102585"/>
    <w:rsid w:val="00103E6A"/>
    <w:rsid w:val="00114AB7"/>
    <w:rsid w:val="001165A5"/>
    <w:rsid w:val="00116B2B"/>
    <w:rsid w:val="00120B57"/>
    <w:rsid w:val="00124E3D"/>
    <w:rsid w:val="00127E95"/>
    <w:rsid w:val="00130659"/>
    <w:rsid w:val="001347C7"/>
    <w:rsid w:val="001356B0"/>
    <w:rsid w:val="00135B78"/>
    <w:rsid w:val="00151937"/>
    <w:rsid w:val="001565B6"/>
    <w:rsid w:val="00171C4F"/>
    <w:rsid w:val="00176B92"/>
    <w:rsid w:val="00181844"/>
    <w:rsid w:val="001837E9"/>
    <w:rsid w:val="00187DFA"/>
    <w:rsid w:val="001949BC"/>
    <w:rsid w:val="001A1BC1"/>
    <w:rsid w:val="001A1EA5"/>
    <w:rsid w:val="001A2574"/>
    <w:rsid w:val="001A27D7"/>
    <w:rsid w:val="001A294E"/>
    <w:rsid w:val="001A4ED8"/>
    <w:rsid w:val="001B2488"/>
    <w:rsid w:val="001B6799"/>
    <w:rsid w:val="001C1362"/>
    <w:rsid w:val="001C5CFB"/>
    <w:rsid w:val="001D0248"/>
    <w:rsid w:val="001D1C5C"/>
    <w:rsid w:val="001D2E9A"/>
    <w:rsid w:val="001D4042"/>
    <w:rsid w:val="001D597F"/>
    <w:rsid w:val="001D6BDD"/>
    <w:rsid w:val="001E3779"/>
    <w:rsid w:val="001E3FD4"/>
    <w:rsid w:val="001E6C6C"/>
    <w:rsid w:val="001E7BE5"/>
    <w:rsid w:val="0020241A"/>
    <w:rsid w:val="00203821"/>
    <w:rsid w:val="00211632"/>
    <w:rsid w:val="00212FAA"/>
    <w:rsid w:val="0021630D"/>
    <w:rsid w:val="00232372"/>
    <w:rsid w:val="0024121B"/>
    <w:rsid w:val="00242659"/>
    <w:rsid w:val="00242BE0"/>
    <w:rsid w:val="00247D2F"/>
    <w:rsid w:val="002560B9"/>
    <w:rsid w:val="00256560"/>
    <w:rsid w:val="00256CE4"/>
    <w:rsid w:val="0026292B"/>
    <w:rsid w:val="002639F9"/>
    <w:rsid w:val="0027605E"/>
    <w:rsid w:val="00281E00"/>
    <w:rsid w:val="0029400A"/>
    <w:rsid w:val="00294A52"/>
    <w:rsid w:val="002B03D9"/>
    <w:rsid w:val="002B575F"/>
    <w:rsid w:val="002B729B"/>
    <w:rsid w:val="002C23B5"/>
    <w:rsid w:val="002C53A2"/>
    <w:rsid w:val="002D0040"/>
    <w:rsid w:val="002D1014"/>
    <w:rsid w:val="002D2FA8"/>
    <w:rsid w:val="002D45D5"/>
    <w:rsid w:val="002D68AA"/>
    <w:rsid w:val="002D7905"/>
    <w:rsid w:val="002E10E4"/>
    <w:rsid w:val="002E220F"/>
    <w:rsid w:val="00307311"/>
    <w:rsid w:val="0032100F"/>
    <w:rsid w:val="003238C7"/>
    <w:rsid w:val="0033402C"/>
    <w:rsid w:val="00340521"/>
    <w:rsid w:val="00345C73"/>
    <w:rsid w:val="00354A99"/>
    <w:rsid w:val="00360311"/>
    <w:rsid w:val="00361922"/>
    <w:rsid w:val="00364C28"/>
    <w:rsid w:val="0037339B"/>
    <w:rsid w:val="003817FF"/>
    <w:rsid w:val="00386C11"/>
    <w:rsid w:val="003903CA"/>
    <w:rsid w:val="00396FE5"/>
    <w:rsid w:val="00397466"/>
    <w:rsid w:val="003A49D3"/>
    <w:rsid w:val="003A5A10"/>
    <w:rsid w:val="003A6148"/>
    <w:rsid w:val="003A7078"/>
    <w:rsid w:val="003C33F6"/>
    <w:rsid w:val="003C3D2E"/>
    <w:rsid w:val="003C43A5"/>
    <w:rsid w:val="003D333A"/>
    <w:rsid w:val="003E1C5C"/>
    <w:rsid w:val="003E6650"/>
    <w:rsid w:val="003F0021"/>
    <w:rsid w:val="003F5B46"/>
    <w:rsid w:val="003F6227"/>
    <w:rsid w:val="003F6C52"/>
    <w:rsid w:val="00401363"/>
    <w:rsid w:val="00402E47"/>
    <w:rsid w:val="0040630D"/>
    <w:rsid w:val="004102DE"/>
    <w:rsid w:val="00420B46"/>
    <w:rsid w:val="004240BB"/>
    <w:rsid w:val="00425015"/>
    <w:rsid w:val="00426CAC"/>
    <w:rsid w:val="00430994"/>
    <w:rsid w:val="0043153B"/>
    <w:rsid w:val="00441B6D"/>
    <w:rsid w:val="0044311D"/>
    <w:rsid w:val="004451D9"/>
    <w:rsid w:val="00446252"/>
    <w:rsid w:val="004556EF"/>
    <w:rsid w:val="00455D62"/>
    <w:rsid w:val="0046212C"/>
    <w:rsid w:val="00462B07"/>
    <w:rsid w:val="00465BD2"/>
    <w:rsid w:val="004715C8"/>
    <w:rsid w:val="004772FA"/>
    <w:rsid w:val="00481C31"/>
    <w:rsid w:val="00482FC1"/>
    <w:rsid w:val="00483027"/>
    <w:rsid w:val="004871AA"/>
    <w:rsid w:val="004918D7"/>
    <w:rsid w:val="004926E1"/>
    <w:rsid w:val="004A2FEA"/>
    <w:rsid w:val="004A67BB"/>
    <w:rsid w:val="004B25E4"/>
    <w:rsid w:val="004B337C"/>
    <w:rsid w:val="004C14EA"/>
    <w:rsid w:val="004D1EFF"/>
    <w:rsid w:val="004D2DD7"/>
    <w:rsid w:val="004D75C5"/>
    <w:rsid w:val="004E2186"/>
    <w:rsid w:val="004E66FB"/>
    <w:rsid w:val="004F470A"/>
    <w:rsid w:val="004F4C59"/>
    <w:rsid w:val="004F6E1B"/>
    <w:rsid w:val="00500C8F"/>
    <w:rsid w:val="00501909"/>
    <w:rsid w:val="00507BBB"/>
    <w:rsid w:val="005128DF"/>
    <w:rsid w:val="0051592A"/>
    <w:rsid w:val="00516451"/>
    <w:rsid w:val="005206DC"/>
    <w:rsid w:val="005206FE"/>
    <w:rsid w:val="005257ED"/>
    <w:rsid w:val="00525EB0"/>
    <w:rsid w:val="005306F8"/>
    <w:rsid w:val="00531938"/>
    <w:rsid w:val="0054023D"/>
    <w:rsid w:val="005426BF"/>
    <w:rsid w:val="00555342"/>
    <w:rsid w:val="0056213C"/>
    <w:rsid w:val="00580C24"/>
    <w:rsid w:val="005968EF"/>
    <w:rsid w:val="00596C1E"/>
    <w:rsid w:val="005A17A7"/>
    <w:rsid w:val="005A2E26"/>
    <w:rsid w:val="005A5CFE"/>
    <w:rsid w:val="005B2DB3"/>
    <w:rsid w:val="005B7BCA"/>
    <w:rsid w:val="005C0DAE"/>
    <w:rsid w:val="005C188E"/>
    <w:rsid w:val="005C6592"/>
    <w:rsid w:val="005D2349"/>
    <w:rsid w:val="005D4E1E"/>
    <w:rsid w:val="005E1B60"/>
    <w:rsid w:val="005E5507"/>
    <w:rsid w:val="005E607B"/>
    <w:rsid w:val="005F0A8D"/>
    <w:rsid w:val="005F7F6C"/>
    <w:rsid w:val="00601229"/>
    <w:rsid w:val="00603B67"/>
    <w:rsid w:val="00614A45"/>
    <w:rsid w:val="006162A2"/>
    <w:rsid w:val="006240DA"/>
    <w:rsid w:val="0063256E"/>
    <w:rsid w:val="00633F04"/>
    <w:rsid w:val="00635219"/>
    <w:rsid w:val="00635EC0"/>
    <w:rsid w:val="00637BDB"/>
    <w:rsid w:val="00640B58"/>
    <w:rsid w:val="006432EC"/>
    <w:rsid w:val="00643807"/>
    <w:rsid w:val="00647A77"/>
    <w:rsid w:val="00651B02"/>
    <w:rsid w:val="00651B19"/>
    <w:rsid w:val="00654DB0"/>
    <w:rsid w:val="00660A29"/>
    <w:rsid w:val="00675A39"/>
    <w:rsid w:val="00676531"/>
    <w:rsid w:val="00695519"/>
    <w:rsid w:val="00695FB9"/>
    <w:rsid w:val="006A4134"/>
    <w:rsid w:val="006A5DDA"/>
    <w:rsid w:val="006A6701"/>
    <w:rsid w:val="006B21F4"/>
    <w:rsid w:val="006B3753"/>
    <w:rsid w:val="006B3A9B"/>
    <w:rsid w:val="006B7AD6"/>
    <w:rsid w:val="006C03AF"/>
    <w:rsid w:val="006C0D83"/>
    <w:rsid w:val="006C4D20"/>
    <w:rsid w:val="006C50FD"/>
    <w:rsid w:val="006C6790"/>
    <w:rsid w:val="006D1DD4"/>
    <w:rsid w:val="006D4014"/>
    <w:rsid w:val="006D44C1"/>
    <w:rsid w:val="006D5E86"/>
    <w:rsid w:val="006E18A5"/>
    <w:rsid w:val="006E4761"/>
    <w:rsid w:val="006E5651"/>
    <w:rsid w:val="006E5B85"/>
    <w:rsid w:val="006F026A"/>
    <w:rsid w:val="006F7D87"/>
    <w:rsid w:val="00700188"/>
    <w:rsid w:val="0070265B"/>
    <w:rsid w:val="00704813"/>
    <w:rsid w:val="00705316"/>
    <w:rsid w:val="007127E7"/>
    <w:rsid w:val="00712F18"/>
    <w:rsid w:val="007144FD"/>
    <w:rsid w:val="00715C55"/>
    <w:rsid w:val="0072290D"/>
    <w:rsid w:val="00723D6D"/>
    <w:rsid w:val="00724537"/>
    <w:rsid w:val="00731724"/>
    <w:rsid w:val="0073474B"/>
    <w:rsid w:val="00735511"/>
    <w:rsid w:val="00737208"/>
    <w:rsid w:val="00744DE6"/>
    <w:rsid w:val="00752582"/>
    <w:rsid w:val="00762452"/>
    <w:rsid w:val="007639E0"/>
    <w:rsid w:val="00770DAD"/>
    <w:rsid w:val="00775507"/>
    <w:rsid w:val="00783473"/>
    <w:rsid w:val="0078594B"/>
    <w:rsid w:val="0079265A"/>
    <w:rsid w:val="007932C0"/>
    <w:rsid w:val="00795E02"/>
    <w:rsid w:val="007979D0"/>
    <w:rsid w:val="007A4E18"/>
    <w:rsid w:val="007A59F3"/>
    <w:rsid w:val="007A7B8C"/>
    <w:rsid w:val="007B55AC"/>
    <w:rsid w:val="007B5A9D"/>
    <w:rsid w:val="007C05C0"/>
    <w:rsid w:val="007C6D9E"/>
    <w:rsid w:val="007D1C43"/>
    <w:rsid w:val="007D6C53"/>
    <w:rsid w:val="007E1564"/>
    <w:rsid w:val="007E1E87"/>
    <w:rsid w:val="007E40AA"/>
    <w:rsid w:val="007E5B3F"/>
    <w:rsid w:val="007F2015"/>
    <w:rsid w:val="007F2257"/>
    <w:rsid w:val="007F2935"/>
    <w:rsid w:val="007F68DD"/>
    <w:rsid w:val="0080091D"/>
    <w:rsid w:val="00804108"/>
    <w:rsid w:val="00804FC4"/>
    <w:rsid w:val="008145E2"/>
    <w:rsid w:val="00816367"/>
    <w:rsid w:val="00816A0B"/>
    <w:rsid w:val="00824B22"/>
    <w:rsid w:val="00830C53"/>
    <w:rsid w:val="00837FAA"/>
    <w:rsid w:val="00841F77"/>
    <w:rsid w:val="00843028"/>
    <w:rsid w:val="0085276D"/>
    <w:rsid w:val="00855F4E"/>
    <w:rsid w:val="00860320"/>
    <w:rsid w:val="00861554"/>
    <w:rsid w:val="00863390"/>
    <w:rsid w:val="0086385C"/>
    <w:rsid w:val="00871916"/>
    <w:rsid w:val="00871E67"/>
    <w:rsid w:val="008859DE"/>
    <w:rsid w:val="008912EA"/>
    <w:rsid w:val="008956DD"/>
    <w:rsid w:val="008A510E"/>
    <w:rsid w:val="008A522A"/>
    <w:rsid w:val="008A6201"/>
    <w:rsid w:val="008B4464"/>
    <w:rsid w:val="008B508D"/>
    <w:rsid w:val="008B750B"/>
    <w:rsid w:val="008B766A"/>
    <w:rsid w:val="008C275D"/>
    <w:rsid w:val="008C3162"/>
    <w:rsid w:val="008D1F14"/>
    <w:rsid w:val="008E3924"/>
    <w:rsid w:val="008F13F7"/>
    <w:rsid w:val="008F5B4D"/>
    <w:rsid w:val="008F6C48"/>
    <w:rsid w:val="009006B9"/>
    <w:rsid w:val="009021BF"/>
    <w:rsid w:val="00907425"/>
    <w:rsid w:val="009133AC"/>
    <w:rsid w:val="00923C34"/>
    <w:rsid w:val="00924152"/>
    <w:rsid w:val="0092513D"/>
    <w:rsid w:val="00927A9F"/>
    <w:rsid w:val="009335CC"/>
    <w:rsid w:val="00935A55"/>
    <w:rsid w:val="00941CEB"/>
    <w:rsid w:val="00942DA0"/>
    <w:rsid w:val="00945EC2"/>
    <w:rsid w:val="0094720F"/>
    <w:rsid w:val="00953B28"/>
    <w:rsid w:val="00954322"/>
    <w:rsid w:val="00957CAA"/>
    <w:rsid w:val="00964A9D"/>
    <w:rsid w:val="00964B8E"/>
    <w:rsid w:val="0096559A"/>
    <w:rsid w:val="00966054"/>
    <w:rsid w:val="00966420"/>
    <w:rsid w:val="00966CA3"/>
    <w:rsid w:val="0096778A"/>
    <w:rsid w:val="0097561C"/>
    <w:rsid w:val="00977656"/>
    <w:rsid w:val="009846A7"/>
    <w:rsid w:val="0098794D"/>
    <w:rsid w:val="0099497B"/>
    <w:rsid w:val="009A43BA"/>
    <w:rsid w:val="009B0D05"/>
    <w:rsid w:val="009B2F60"/>
    <w:rsid w:val="009B4CA6"/>
    <w:rsid w:val="009B79F8"/>
    <w:rsid w:val="009C66D5"/>
    <w:rsid w:val="009D13FD"/>
    <w:rsid w:val="009D266A"/>
    <w:rsid w:val="009D6119"/>
    <w:rsid w:val="009D7DEE"/>
    <w:rsid w:val="009E3BCB"/>
    <w:rsid w:val="009E3D61"/>
    <w:rsid w:val="009F3925"/>
    <w:rsid w:val="009F7E07"/>
    <w:rsid w:val="00A01522"/>
    <w:rsid w:val="00A03019"/>
    <w:rsid w:val="00A10A11"/>
    <w:rsid w:val="00A13C6A"/>
    <w:rsid w:val="00A17B09"/>
    <w:rsid w:val="00A37D61"/>
    <w:rsid w:val="00A4184C"/>
    <w:rsid w:val="00A457C6"/>
    <w:rsid w:val="00A46AD0"/>
    <w:rsid w:val="00A47063"/>
    <w:rsid w:val="00A473A8"/>
    <w:rsid w:val="00A513F0"/>
    <w:rsid w:val="00A57930"/>
    <w:rsid w:val="00A61AC8"/>
    <w:rsid w:val="00A6366F"/>
    <w:rsid w:val="00A65D4C"/>
    <w:rsid w:val="00A70512"/>
    <w:rsid w:val="00AA1F60"/>
    <w:rsid w:val="00AA40D7"/>
    <w:rsid w:val="00AA6245"/>
    <w:rsid w:val="00AB0E85"/>
    <w:rsid w:val="00AB5F7D"/>
    <w:rsid w:val="00AB766B"/>
    <w:rsid w:val="00AC0C50"/>
    <w:rsid w:val="00AC47EE"/>
    <w:rsid w:val="00AC6FE2"/>
    <w:rsid w:val="00AC7179"/>
    <w:rsid w:val="00AD07EE"/>
    <w:rsid w:val="00AE2416"/>
    <w:rsid w:val="00AE636F"/>
    <w:rsid w:val="00AF0762"/>
    <w:rsid w:val="00AF3925"/>
    <w:rsid w:val="00B1296B"/>
    <w:rsid w:val="00B2227D"/>
    <w:rsid w:val="00B2292F"/>
    <w:rsid w:val="00B24B8D"/>
    <w:rsid w:val="00B274AC"/>
    <w:rsid w:val="00B4235E"/>
    <w:rsid w:val="00B43169"/>
    <w:rsid w:val="00B501A8"/>
    <w:rsid w:val="00B55AE4"/>
    <w:rsid w:val="00B63495"/>
    <w:rsid w:val="00B70B46"/>
    <w:rsid w:val="00B739B0"/>
    <w:rsid w:val="00B814A3"/>
    <w:rsid w:val="00B85003"/>
    <w:rsid w:val="00B868A2"/>
    <w:rsid w:val="00B9629C"/>
    <w:rsid w:val="00B96F38"/>
    <w:rsid w:val="00B97C30"/>
    <w:rsid w:val="00BB6F71"/>
    <w:rsid w:val="00BC5673"/>
    <w:rsid w:val="00BC716B"/>
    <w:rsid w:val="00BD0E74"/>
    <w:rsid w:val="00BD5F8C"/>
    <w:rsid w:val="00BE29DD"/>
    <w:rsid w:val="00BE2F94"/>
    <w:rsid w:val="00BE3803"/>
    <w:rsid w:val="00BE7EEF"/>
    <w:rsid w:val="00C066AF"/>
    <w:rsid w:val="00C10E06"/>
    <w:rsid w:val="00C117DC"/>
    <w:rsid w:val="00C11D8C"/>
    <w:rsid w:val="00C12E97"/>
    <w:rsid w:val="00C145B8"/>
    <w:rsid w:val="00C15014"/>
    <w:rsid w:val="00C2438F"/>
    <w:rsid w:val="00C31AF0"/>
    <w:rsid w:val="00C32A7E"/>
    <w:rsid w:val="00C34F28"/>
    <w:rsid w:val="00C3608F"/>
    <w:rsid w:val="00C368DF"/>
    <w:rsid w:val="00C36C16"/>
    <w:rsid w:val="00C4234A"/>
    <w:rsid w:val="00C442C5"/>
    <w:rsid w:val="00C4614F"/>
    <w:rsid w:val="00C5372D"/>
    <w:rsid w:val="00C54729"/>
    <w:rsid w:val="00C56CDA"/>
    <w:rsid w:val="00C57B5C"/>
    <w:rsid w:val="00C57C7C"/>
    <w:rsid w:val="00C60849"/>
    <w:rsid w:val="00C61049"/>
    <w:rsid w:val="00C63FFE"/>
    <w:rsid w:val="00C74F0D"/>
    <w:rsid w:val="00C91EB6"/>
    <w:rsid w:val="00C9686F"/>
    <w:rsid w:val="00CA10B0"/>
    <w:rsid w:val="00CA2193"/>
    <w:rsid w:val="00CA2F8E"/>
    <w:rsid w:val="00CA3EE2"/>
    <w:rsid w:val="00CA62A0"/>
    <w:rsid w:val="00CA7FD5"/>
    <w:rsid w:val="00CB3287"/>
    <w:rsid w:val="00CB33E2"/>
    <w:rsid w:val="00CB4E68"/>
    <w:rsid w:val="00CC2733"/>
    <w:rsid w:val="00CC7B6C"/>
    <w:rsid w:val="00CD0050"/>
    <w:rsid w:val="00CD19A5"/>
    <w:rsid w:val="00CD5D67"/>
    <w:rsid w:val="00CE7481"/>
    <w:rsid w:val="00CF0A8F"/>
    <w:rsid w:val="00CF7683"/>
    <w:rsid w:val="00D048CE"/>
    <w:rsid w:val="00D10998"/>
    <w:rsid w:val="00D15CBD"/>
    <w:rsid w:val="00D221CB"/>
    <w:rsid w:val="00D23391"/>
    <w:rsid w:val="00D31761"/>
    <w:rsid w:val="00D31805"/>
    <w:rsid w:val="00D552B9"/>
    <w:rsid w:val="00D655DA"/>
    <w:rsid w:val="00D7340C"/>
    <w:rsid w:val="00D735B2"/>
    <w:rsid w:val="00D74021"/>
    <w:rsid w:val="00D76D01"/>
    <w:rsid w:val="00D922A9"/>
    <w:rsid w:val="00D9394A"/>
    <w:rsid w:val="00DB0CBB"/>
    <w:rsid w:val="00DB2C05"/>
    <w:rsid w:val="00DB2C22"/>
    <w:rsid w:val="00DB67CC"/>
    <w:rsid w:val="00DB7CAA"/>
    <w:rsid w:val="00DC3783"/>
    <w:rsid w:val="00DD3BA1"/>
    <w:rsid w:val="00DE1070"/>
    <w:rsid w:val="00DF77A7"/>
    <w:rsid w:val="00E00219"/>
    <w:rsid w:val="00E01046"/>
    <w:rsid w:val="00E0316B"/>
    <w:rsid w:val="00E111CF"/>
    <w:rsid w:val="00E12913"/>
    <w:rsid w:val="00E150B3"/>
    <w:rsid w:val="00E25E10"/>
    <w:rsid w:val="00E50B41"/>
    <w:rsid w:val="00E5219B"/>
    <w:rsid w:val="00E52D07"/>
    <w:rsid w:val="00E5518B"/>
    <w:rsid w:val="00E609FE"/>
    <w:rsid w:val="00E630BE"/>
    <w:rsid w:val="00E67211"/>
    <w:rsid w:val="00E71F4B"/>
    <w:rsid w:val="00E75275"/>
    <w:rsid w:val="00E75920"/>
    <w:rsid w:val="00E75CD2"/>
    <w:rsid w:val="00E80D96"/>
    <w:rsid w:val="00E871FA"/>
    <w:rsid w:val="00E87F37"/>
    <w:rsid w:val="00E9361C"/>
    <w:rsid w:val="00E936A4"/>
    <w:rsid w:val="00E954BB"/>
    <w:rsid w:val="00EA1823"/>
    <w:rsid w:val="00EA45E7"/>
    <w:rsid w:val="00EB296E"/>
    <w:rsid w:val="00EB3447"/>
    <w:rsid w:val="00EB78E3"/>
    <w:rsid w:val="00EB7BE3"/>
    <w:rsid w:val="00EC0DED"/>
    <w:rsid w:val="00EC1C4B"/>
    <w:rsid w:val="00EC735A"/>
    <w:rsid w:val="00ED5F38"/>
    <w:rsid w:val="00EF27FE"/>
    <w:rsid w:val="00EF4BAA"/>
    <w:rsid w:val="00F040AE"/>
    <w:rsid w:val="00F07FB6"/>
    <w:rsid w:val="00F149D0"/>
    <w:rsid w:val="00F14B8E"/>
    <w:rsid w:val="00F16B53"/>
    <w:rsid w:val="00F21840"/>
    <w:rsid w:val="00F24ACF"/>
    <w:rsid w:val="00F25ECD"/>
    <w:rsid w:val="00F30AC7"/>
    <w:rsid w:val="00F318BE"/>
    <w:rsid w:val="00F33297"/>
    <w:rsid w:val="00F343FB"/>
    <w:rsid w:val="00F35140"/>
    <w:rsid w:val="00F359FE"/>
    <w:rsid w:val="00F40F09"/>
    <w:rsid w:val="00F42159"/>
    <w:rsid w:val="00F4256E"/>
    <w:rsid w:val="00F42EE1"/>
    <w:rsid w:val="00F60F1F"/>
    <w:rsid w:val="00F60FF4"/>
    <w:rsid w:val="00F64141"/>
    <w:rsid w:val="00F67508"/>
    <w:rsid w:val="00F71FC9"/>
    <w:rsid w:val="00F73B48"/>
    <w:rsid w:val="00F7415A"/>
    <w:rsid w:val="00F74F51"/>
    <w:rsid w:val="00F80B5D"/>
    <w:rsid w:val="00F837EE"/>
    <w:rsid w:val="00F842AD"/>
    <w:rsid w:val="00F914EB"/>
    <w:rsid w:val="00F91B85"/>
    <w:rsid w:val="00F938E7"/>
    <w:rsid w:val="00FA2348"/>
    <w:rsid w:val="00FA3B17"/>
    <w:rsid w:val="00FA4664"/>
    <w:rsid w:val="00FA5E8D"/>
    <w:rsid w:val="00FA5F3D"/>
    <w:rsid w:val="00FA76B3"/>
    <w:rsid w:val="00FB399E"/>
    <w:rsid w:val="00FB63FA"/>
    <w:rsid w:val="00FB7F50"/>
    <w:rsid w:val="00FC2A85"/>
    <w:rsid w:val="00FC3AC1"/>
    <w:rsid w:val="00FC40AF"/>
    <w:rsid w:val="00FC6E93"/>
    <w:rsid w:val="00FC73B9"/>
    <w:rsid w:val="00FD0A16"/>
    <w:rsid w:val="00FD2016"/>
    <w:rsid w:val="00FD39EB"/>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3D4B87F"/>
  <w15:docId w15:val="{79ED2FB3-8E69-47E5-AA23-A2EFD6DE2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5CFE"/>
    <w:pPr>
      <w:bidi/>
      <w:spacing w:line="276" w:lineRule="auto"/>
      <w:jc w:val="both"/>
    </w:pPr>
    <w:rPr>
      <w:rFonts w:ascii="IRLotus" w:hAnsi="IRLotus" w:cs="IRLotus"/>
      <w:sz w:val="30"/>
      <w:szCs w:val="30"/>
    </w:rPr>
  </w:style>
  <w:style w:type="paragraph" w:styleId="Heading1">
    <w:name w:val="heading 1"/>
    <w:basedOn w:val="Normal"/>
    <w:next w:val="Normal"/>
    <w:link w:val="Heading1Char"/>
    <w:autoRedefine/>
    <w:uiPriority w:val="9"/>
    <w:qFormat/>
    <w:rsid w:val="00EB3447"/>
    <w:pPr>
      <w:keepNext/>
      <w:spacing w:before="120"/>
      <w:outlineLvl w:val="0"/>
    </w:pPr>
    <w:rPr>
      <w:rFonts w:ascii="IRTitr" w:eastAsia="Times New Roman" w:hAnsi="IRTitr" w:cs="IRTitr"/>
      <w:color w:val="0100FF"/>
      <w:kern w:val="32"/>
      <w:sz w:val="32"/>
      <w:szCs w:val="32"/>
    </w:rPr>
  </w:style>
  <w:style w:type="paragraph" w:styleId="Heading2">
    <w:name w:val="heading 2"/>
    <w:basedOn w:val="Normal"/>
    <w:next w:val="Normal"/>
    <w:link w:val="Heading2Char"/>
    <w:autoRedefine/>
    <w:uiPriority w:val="9"/>
    <w:unhideWhenUsed/>
    <w:qFormat/>
    <w:rsid w:val="00EB3447"/>
    <w:pPr>
      <w:keepNext/>
      <w:spacing w:before="240" w:after="60"/>
      <w:outlineLvl w:val="1"/>
    </w:pPr>
    <w:rPr>
      <w:rFonts w:ascii="IRTitr" w:eastAsia="Times New Roman" w:hAnsi="IRTitr" w:cs="IRTitr"/>
      <w:i/>
      <w:color w:val="0000FE"/>
      <w:sz w:val="28"/>
    </w:rPr>
  </w:style>
  <w:style w:type="paragraph" w:styleId="Heading3">
    <w:name w:val="heading 3"/>
    <w:basedOn w:val="Normal"/>
    <w:next w:val="Normal"/>
    <w:link w:val="Heading3Char"/>
    <w:autoRedefine/>
    <w:uiPriority w:val="9"/>
    <w:unhideWhenUsed/>
    <w:qFormat/>
    <w:rsid w:val="00BC716B"/>
    <w:pPr>
      <w:keepNext/>
      <w:spacing w:before="240" w:after="60"/>
      <w:outlineLvl w:val="2"/>
    </w:pPr>
    <w:rPr>
      <w:rFonts w:ascii="Cambria" w:eastAsia="Times New Roman" w:hAnsi="Cambria" w:cs="B Titr"/>
      <w:b/>
      <w:bCs/>
      <w:color w:val="0000FD"/>
      <w:sz w:val="26"/>
    </w:rPr>
  </w:style>
  <w:style w:type="paragraph" w:styleId="Heading4">
    <w:name w:val="heading 4"/>
    <w:basedOn w:val="Normal"/>
    <w:next w:val="Normal"/>
    <w:link w:val="Heading4Char"/>
    <w:autoRedefine/>
    <w:uiPriority w:val="9"/>
    <w:unhideWhenUsed/>
    <w:qFormat/>
    <w:rsid w:val="00BC716B"/>
    <w:pPr>
      <w:keepNext/>
      <w:spacing w:before="240" w:after="60"/>
      <w:outlineLvl w:val="3"/>
    </w:pPr>
    <w:rPr>
      <w:rFonts w:eastAsia="Times New Roman" w:cs="B Titr"/>
      <w:b/>
      <w:bCs/>
      <w:color w:val="0000FC"/>
      <w:sz w:val="28"/>
      <w:szCs w:val="26"/>
    </w:rPr>
  </w:style>
  <w:style w:type="paragraph" w:styleId="Heading5">
    <w:name w:val="heading 5"/>
    <w:basedOn w:val="Normal"/>
    <w:next w:val="Normal"/>
    <w:link w:val="Heading5Char"/>
    <w:autoRedefine/>
    <w:uiPriority w:val="9"/>
    <w:unhideWhenUsed/>
    <w:qFormat/>
    <w:rsid w:val="00BC716B"/>
    <w:pPr>
      <w:keepNext/>
      <w:spacing w:before="240" w:after="60"/>
      <w:outlineLvl w:val="4"/>
    </w:pPr>
    <w:rPr>
      <w:rFonts w:eastAsia="Times New Roman" w:cs="B Titr"/>
      <w:b/>
      <w:bCs/>
      <w:i/>
      <w:color w:val="0000FB"/>
      <w:sz w:val="26"/>
      <w:szCs w:val="24"/>
    </w:rPr>
  </w:style>
  <w:style w:type="paragraph" w:styleId="Heading6">
    <w:name w:val="heading 6"/>
    <w:basedOn w:val="Normal"/>
    <w:next w:val="Normal"/>
    <w:link w:val="Heading6Char"/>
    <w:autoRedefine/>
    <w:uiPriority w:val="9"/>
    <w:unhideWhenUsed/>
    <w:qFormat/>
    <w:rsid w:val="00BC716B"/>
    <w:pPr>
      <w:keepNext/>
      <w:spacing w:before="240" w:after="60"/>
      <w:outlineLvl w:val="5"/>
    </w:pPr>
    <w:rPr>
      <w:rFonts w:eastAsia="Times New Roman" w:cs="B Titr"/>
      <w:b/>
      <w:bCs/>
      <w:color w:val="0000FA"/>
      <w:szCs w:val="24"/>
    </w:rPr>
  </w:style>
  <w:style w:type="paragraph" w:styleId="Heading7">
    <w:name w:val="heading 7"/>
    <w:basedOn w:val="Normal"/>
    <w:next w:val="Normal"/>
    <w:link w:val="Heading7Char"/>
    <w:autoRedefine/>
    <w:uiPriority w:val="9"/>
    <w:unhideWhenUsed/>
    <w:qFormat/>
    <w:rsid w:val="00BC716B"/>
    <w:pPr>
      <w:keepNext/>
      <w:spacing w:before="240" w:after="60"/>
      <w:outlineLvl w:val="6"/>
    </w:pPr>
    <w:rPr>
      <w:rFonts w:eastAsia="Times New Roman" w:cs="B Titr"/>
      <w:bCs/>
      <w:color w:val="0000F9"/>
      <w:sz w:val="24"/>
      <w:szCs w:val="24"/>
    </w:rPr>
  </w:style>
  <w:style w:type="paragraph" w:styleId="Heading8">
    <w:name w:val="heading 8"/>
    <w:basedOn w:val="Normal"/>
    <w:next w:val="Normal"/>
    <w:link w:val="Heading8Char"/>
    <w:autoRedefine/>
    <w:uiPriority w:val="9"/>
    <w:unhideWhenUsed/>
    <w:qFormat/>
    <w:rsid w:val="00BC716B"/>
    <w:pPr>
      <w:keepNext/>
      <w:spacing w:before="240" w:after="60" w:line="240" w:lineRule="auto"/>
      <w:outlineLvl w:val="7"/>
    </w:pPr>
    <w:rPr>
      <w:rFonts w:eastAsia="Times New Roman" w:cs="B Titr"/>
      <w:bCs/>
      <w:i/>
      <w:color w:val="0000F8"/>
      <w:sz w:val="24"/>
      <w:szCs w:val="24"/>
    </w:rPr>
  </w:style>
  <w:style w:type="paragraph" w:styleId="Heading9">
    <w:name w:val="heading 9"/>
    <w:basedOn w:val="Normal"/>
    <w:next w:val="Normal"/>
    <w:link w:val="Heading9Char"/>
    <w:autoRedefine/>
    <w:uiPriority w:val="9"/>
    <w:unhideWhenUsed/>
    <w:qFormat/>
    <w:rsid w:val="00BC716B"/>
    <w:pPr>
      <w:keepNext/>
      <w:spacing w:before="240" w:after="60"/>
      <w:outlineLvl w:val="8"/>
    </w:pPr>
    <w:rPr>
      <w:rFonts w:ascii="Cambria" w:eastAsia="Times New Roman" w:hAnsi="Cambria" w:cs="B Titr"/>
      <w:bCs/>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B3447"/>
    <w:rPr>
      <w:rFonts w:ascii="IRTitr" w:eastAsia="Times New Roman" w:hAnsi="IRTitr" w:cs="IRTitr"/>
      <w:color w:val="0100FF"/>
      <w:kern w:val="32"/>
      <w:sz w:val="32"/>
      <w:szCs w:val="32"/>
    </w:rPr>
  </w:style>
  <w:style w:type="character" w:customStyle="1" w:styleId="Heading2Char">
    <w:name w:val="Heading 2 Char"/>
    <w:link w:val="Heading2"/>
    <w:uiPriority w:val="9"/>
    <w:rsid w:val="00EB3447"/>
    <w:rPr>
      <w:rFonts w:ascii="IRTitr" w:eastAsia="Times New Roman" w:hAnsi="IRTitr" w:cs="IRTitr"/>
      <w:i/>
      <w:color w:val="0000FE"/>
      <w:sz w:val="28"/>
      <w:szCs w:val="30"/>
    </w:rPr>
  </w:style>
  <w:style w:type="character" w:customStyle="1" w:styleId="Heading3Char">
    <w:name w:val="Heading 3 Char"/>
    <w:link w:val="Heading3"/>
    <w:uiPriority w:val="9"/>
    <w:rsid w:val="00BC716B"/>
    <w:rPr>
      <w:rFonts w:ascii="Cambria" w:eastAsia="Times New Roman" w:hAnsi="Cambria" w:cs="B Titr"/>
      <w:b/>
      <w:bCs/>
      <w:color w:val="0000FD"/>
      <w:sz w:val="26"/>
      <w:szCs w:val="28"/>
    </w:rPr>
  </w:style>
  <w:style w:type="character" w:customStyle="1" w:styleId="Heading4Char">
    <w:name w:val="Heading 4 Char"/>
    <w:link w:val="Heading4"/>
    <w:uiPriority w:val="9"/>
    <w:rsid w:val="00BC716B"/>
    <w:rPr>
      <w:rFonts w:eastAsia="Times New Roman" w:cs="B Titr"/>
      <w:b/>
      <w:bCs/>
      <w:color w:val="0000FC"/>
      <w:sz w:val="28"/>
      <w:szCs w:val="26"/>
    </w:rPr>
  </w:style>
  <w:style w:type="character" w:customStyle="1" w:styleId="Heading5Char">
    <w:name w:val="Heading 5 Char"/>
    <w:link w:val="Heading5"/>
    <w:uiPriority w:val="9"/>
    <w:rsid w:val="00BC716B"/>
    <w:rPr>
      <w:rFonts w:eastAsia="Times New Roman" w:cs="B Titr"/>
      <w:b/>
      <w:bCs/>
      <w:i/>
      <w:color w:val="0000FB"/>
      <w:sz w:val="26"/>
      <w:szCs w:val="24"/>
    </w:rPr>
  </w:style>
  <w:style w:type="character" w:customStyle="1" w:styleId="Heading7Char">
    <w:name w:val="Heading 7 Char"/>
    <w:link w:val="Heading7"/>
    <w:uiPriority w:val="9"/>
    <w:rsid w:val="00BC716B"/>
    <w:rPr>
      <w:rFonts w:eastAsia="Times New Roman" w:cs="B Titr"/>
      <w:bCs/>
      <w:color w:val="0000F9"/>
      <w:sz w:val="24"/>
      <w:szCs w:val="24"/>
    </w:rPr>
  </w:style>
  <w:style w:type="character" w:customStyle="1" w:styleId="Heading6Char">
    <w:name w:val="Heading 6 Char"/>
    <w:link w:val="Heading6"/>
    <w:uiPriority w:val="9"/>
    <w:rsid w:val="00BC716B"/>
    <w:rPr>
      <w:rFonts w:eastAsia="Times New Roman" w:cs="B Titr"/>
      <w:b/>
      <w:bCs/>
      <w:color w:val="0000FA"/>
      <w:sz w:val="22"/>
      <w:szCs w:val="24"/>
    </w:rPr>
  </w:style>
  <w:style w:type="character" w:customStyle="1" w:styleId="Heading8Char">
    <w:name w:val="Heading 8 Char"/>
    <w:link w:val="Heading8"/>
    <w:uiPriority w:val="9"/>
    <w:rsid w:val="00BC716B"/>
    <w:rPr>
      <w:rFonts w:eastAsia="Times New Roman" w:cs="B Titr"/>
      <w:bCs/>
      <w:i/>
      <w:color w:val="0000F8"/>
      <w:sz w:val="24"/>
      <w:szCs w:val="24"/>
    </w:rPr>
  </w:style>
  <w:style w:type="character" w:customStyle="1" w:styleId="Heading9Char">
    <w:name w:val="Heading 9 Char"/>
    <w:link w:val="Heading9"/>
    <w:uiPriority w:val="9"/>
    <w:rsid w:val="00BC716B"/>
    <w:rPr>
      <w:rFonts w:ascii="Cambria" w:eastAsia="Times New Roman" w:hAnsi="Cambria" w:cs="B Titr"/>
      <w:bCs/>
      <w:color w:val="0000F7"/>
      <w:sz w:val="22"/>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qFormat/>
    <w:rsid w:val="006162A2"/>
    <w:rPr>
      <w:rFonts w:cs="B Badr"/>
      <w:b/>
      <w:bCs w:val="0"/>
      <w:i/>
      <w:iCs w:val="0"/>
      <w:color w:val="008000"/>
      <w:szCs w:val="28"/>
    </w:rPr>
  </w:style>
  <w:style w:type="character" w:styleId="SubtleEmphasis">
    <w:name w:val="Subtle Emphasis"/>
    <w:aliases w:val="متن کتاب محور"/>
    <w:basedOn w:val="DefaultParagraphFont"/>
    <w:uiPriority w:val="19"/>
    <w:qFormat/>
    <w:rsid w:val="006162A2"/>
    <w:rPr>
      <w:rFonts w:cs="B Badr"/>
      <w:bCs w:val="0"/>
      <w:i/>
      <w:iCs w:val="0"/>
      <w:color w:val="0000FF"/>
      <w:szCs w:val="28"/>
    </w:rPr>
  </w:style>
  <w:style w:type="paragraph" w:customStyle="1" w:styleId="2">
    <w:name w:val="نظر سایر علما2"/>
    <w:basedOn w:val="Normal"/>
    <w:qFormat/>
    <w:rsid w:val="006162A2"/>
    <w:rPr>
      <w:color w:val="000080"/>
    </w:rPr>
  </w:style>
  <w:style w:type="paragraph" w:customStyle="1" w:styleId="a">
    <w:name w:val="متن نظر استاد"/>
    <w:basedOn w:val="Normal"/>
    <w:rsid w:val="001B2488"/>
    <w:rPr>
      <w:color w:val="800000"/>
    </w:rPr>
  </w:style>
  <w:style w:type="character" w:styleId="Emphasis">
    <w:name w:val="Emphasis"/>
    <w:aliases w:val="موضوع"/>
    <w:basedOn w:val="DefaultParagraphFont"/>
    <w:uiPriority w:val="20"/>
    <w:qFormat/>
    <w:rsid w:val="00FC73B9"/>
    <w:rPr>
      <w:rFonts w:cs="B Titr"/>
      <w:bCs/>
      <w:i/>
      <w:iCs w:val="0"/>
      <w:color w:val="0101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0">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qFormat/>
    <w:rsid w:val="0092513D"/>
    <w:pPr>
      <w:ind w:left="720"/>
      <w:contextualSpacing/>
    </w:pPr>
    <w:rPr>
      <w:rFonts w:cs="B Lotus"/>
    </w:rPr>
  </w:style>
  <w:style w:type="paragraph" w:styleId="ListBullet">
    <w:name w:val="List Bullet"/>
    <w:basedOn w:val="Normal"/>
    <w:uiPriority w:val="99"/>
    <w:unhideWhenUsed/>
    <w:rsid w:val="00816A0B"/>
    <w:pPr>
      <w:numPr>
        <w:numId w:val="1"/>
      </w:numPr>
      <w:contextualSpacing/>
    </w:pPr>
  </w:style>
  <w:style w:type="paragraph" w:styleId="ListBullet2">
    <w:name w:val="List Bullet 2"/>
    <w:basedOn w:val="Normal"/>
    <w:uiPriority w:val="99"/>
    <w:unhideWhenUsed/>
    <w:rsid w:val="00816A0B"/>
    <w:pPr>
      <w:numPr>
        <w:numId w:val="2"/>
      </w:numPr>
      <w:contextualSpacing/>
    </w:pPr>
  </w:style>
  <w:style w:type="paragraph" w:styleId="ListBullet3">
    <w:name w:val="List Bullet 3"/>
    <w:basedOn w:val="Normal"/>
    <w:uiPriority w:val="99"/>
    <w:semiHidden/>
    <w:unhideWhenUsed/>
    <w:rsid w:val="00E5518B"/>
    <w:pPr>
      <w:numPr>
        <w:numId w:val="3"/>
      </w:numPr>
      <w:contextualSpacing/>
    </w:pPr>
  </w:style>
  <w:style w:type="paragraph" w:styleId="ListBullet4">
    <w:name w:val="List Bullet 4"/>
    <w:basedOn w:val="Normal"/>
    <w:uiPriority w:val="99"/>
    <w:semiHidden/>
    <w:unhideWhenUsed/>
    <w:rsid w:val="00E5518B"/>
    <w:pPr>
      <w:numPr>
        <w:numId w:val="4"/>
      </w:numPr>
      <w:contextualSpacing/>
    </w:pPr>
  </w:style>
  <w:style w:type="paragraph" w:styleId="ListBullet5">
    <w:name w:val="List Bullet 5"/>
    <w:basedOn w:val="Normal"/>
    <w:uiPriority w:val="99"/>
    <w:semiHidden/>
    <w:unhideWhenUsed/>
    <w:rsid w:val="00E5518B"/>
    <w:pPr>
      <w:numPr>
        <w:numId w:val="5"/>
      </w:numPr>
      <w:contextualSpacing/>
    </w:pPr>
  </w:style>
  <w:style w:type="table" w:styleId="TableGrid">
    <w:name w:val="Table Grid"/>
    <w:basedOn w:val="TableNormal"/>
    <w:uiPriority w:val="59"/>
    <w:rsid w:val="00F91B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1">
    <w:name w:val="پاورقي"/>
    <w:basedOn w:val="FootnoteText"/>
    <w:link w:val="a2"/>
    <w:qFormat/>
    <w:rsid w:val="00824B22"/>
  </w:style>
  <w:style w:type="character" w:customStyle="1" w:styleId="a2">
    <w:name w:val="پاورقي نویسه"/>
    <w:basedOn w:val="FootnoteTextChar"/>
    <w:link w:val="a1"/>
    <w:rsid w:val="00824B22"/>
    <w:rPr>
      <w:rFonts w:cs="B Badr"/>
    </w:rPr>
  </w:style>
  <w:style w:type="character" w:customStyle="1" w:styleId="a3">
    <w:name w:val="نظر سایر علما"/>
    <w:basedOn w:val="DefaultParagraphFont"/>
    <w:uiPriority w:val="1"/>
    <w:qFormat/>
    <w:rsid w:val="006D4014"/>
    <w:rPr>
      <w:rFonts w:cs="B Badr"/>
      <w:b/>
      <w:bCs/>
      <w:color w:val="000080"/>
      <w:sz w:val="20"/>
      <w:szCs w:val="28"/>
    </w:rPr>
  </w:style>
  <w:style w:type="paragraph" w:customStyle="1" w:styleId="a4">
    <w:name w:val="کلاس راهنما"/>
    <w:basedOn w:val="Normal"/>
    <w:link w:val="Char"/>
    <w:qFormat/>
    <w:rsid w:val="00A37D61"/>
    <w:pPr>
      <w:spacing w:after="160" w:line="259" w:lineRule="auto"/>
      <w:ind w:left="1440"/>
    </w:pPr>
    <w:rPr>
      <w:rFonts w:eastAsiaTheme="minorHAnsi"/>
      <w:color w:val="7030A0"/>
      <w:sz w:val="36"/>
    </w:rPr>
  </w:style>
  <w:style w:type="character" w:customStyle="1" w:styleId="Char">
    <w:name w:val="کلاس راهنما Char"/>
    <w:basedOn w:val="DefaultParagraphFont"/>
    <w:link w:val="a4"/>
    <w:rsid w:val="00A37D61"/>
    <w:rPr>
      <w:rFonts w:ascii="IRLotus" w:eastAsiaTheme="minorHAnsi" w:hAnsi="IRLotus" w:cs="IRLotus"/>
      <w:color w:val="7030A0"/>
      <w:sz w:val="36"/>
      <w:szCs w:val="28"/>
    </w:rPr>
  </w:style>
  <w:style w:type="paragraph" w:customStyle="1" w:styleId="a5">
    <w:name w:val="شماره جلسه"/>
    <w:basedOn w:val="Normal"/>
    <w:link w:val="Char0"/>
    <w:qFormat/>
    <w:rsid w:val="00A37D61"/>
    <w:pPr>
      <w:keepNext/>
      <w:pBdr>
        <w:top w:val="dashed" w:sz="4" w:space="1" w:color="365F91" w:themeColor="accent1" w:themeShade="BF"/>
        <w:bottom w:val="dashed" w:sz="4" w:space="1" w:color="365F91" w:themeColor="accent1" w:themeShade="BF"/>
      </w:pBdr>
      <w:spacing w:after="160" w:line="259" w:lineRule="auto"/>
      <w:jc w:val="center"/>
    </w:pPr>
    <w:rPr>
      <w:rFonts w:eastAsiaTheme="minorHAnsi"/>
      <w:color w:val="365F91" w:themeColor="accent1" w:themeShade="BF"/>
      <w:sz w:val="28"/>
    </w:rPr>
  </w:style>
  <w:style w:type="character" w:customStyle="1" w:styleId="Char0">
    <w:name w:val="شماره جلسه Char"/>
    <w:basedOn w:val="DefaultParagraphFont"/>
    <w:link w:val="a5"/>
    <w:rsid w:val="00A37D61"/>
    <w:rPr>
      <w:rFonts w:ascii="IRLotus" w:eastAsiaTheme="minorHAnsi" w:hAnsi="IRLotus" w:cs="IRLotus"/>
      <w:color w:val="365F91" w:themeColor="accent1" w:themeShade="BF"/>
      <w:sz w:val="28"/>
      <w:szCs w:val="28"/>
    </w:rPr>
  </w:style>
  <w:style w:type="paragraph" w:styleId="EndnoteText">
    <w:name w:val="endnote text"/>
    <w:basedOn w:val="Normal"/>
    <w:link w:val="EndnoteTextChar"/>
    <w:uiPriority w:val="99"/>
    <w:semiHidden/>
    <w:unhideWhenUsed/>
    <w:rsid w:val="00A37D61"/>
    <w:pPr>
      <w:spacing w:line="240" w:lineRule="auto"/>
    </w:pPr>
    <w:rPr>
      <w:rFonts w:eastAsiaTheme="minorHAnsi"/>
      <w:sz w:val="20"/>
      <w:szCs w:val="20"/>
    </w:rPr>
  </w:style>
  <w:style w:type="character" w:customStyle="1" w:styleId="EndnoteTextChar">
    <w:name w:val="Endnote Text Char"/>
    <w:basedOn w:val="DefaultParagraphFont"/>
    <w:link w:val="EndnoteText"/>
    <w:uiPriority w:val="99"/>
    <w:semiHidden/>
    <w:rsid w:val="00A37D61"/>
    <w:rPr>
      <w:rFonts w:ascii="IRLotus" w:eastAsiaTheme="minorHAnsi" w:hAnsi="IRLotus" w:cs="IRLotus"/>
    </w:rPr>
  </w:style>
  <w:style w:type="character" w:styleId="EndnoteReference">
    <w:name w:val="endnote reference"/>
    <w:basedOn w:val="DefaultParagraphFont"/>
    <w:uiPriority w:val="99"/>
    <w:semiHidden/>
    <w:unhideWhenUsed/>
    <w:rsid w:val="00A37D61"/>
    <w:rPr>
      <w:vertAlign w:val="superscript"/>
    </w:rPr>
  </w:style>
  <w:style w:type="character" w:styleId="FollowedHyperlink">
    <w:name w:val="FollowedHyperlink"/>
    <w:basedOn w:val="DefaultParagraphFont"/>
    <w:uiPriority w:val="99"/>
    <w:semiHidden/>
    <w:unhideWhenUsed/>
    <w:rsid w:val="00A37D61"/>
    <w:rPr>
      <w:color w:val="800080" w:themeColor="followedHyperlink"/>
      <w:u w:val="single"/>
    </w:rPr>
  </w:style>
  <w:style w:type="paragraph" w:customStyle="1" w:styleId="a6">
    <w:name w:val="نقل روایت"/>
    <w:basedOn w:val="Normal"/>
    <w:link w:val="Char1"/>
    <w:qFormat/>
    <w:rsid w:val="00BE3803"/>
    <w:pPr>
      <w:ind w:left="720"/>
    </w:pPr>
    <w:rPr>
      <w:color w:val="008000"/>
    </w:rPr>
  </w:style>
  <w:style w:type="character" w:customStyle="1" w:styleId="Char1">
    <w:name w:val="نقل روایت Char"/>
    <w:basedOn w:val="DefaultParagraphFont"/>
    <w:link w:val="a6"/>
    <w:rsid w:val="00BE3803"/>
    <w:rPr>
      <w:rFonts w:ascii="IRLotus" w:hAnsi="IRLotus" w:cs="IRLotus"/>
      <w:color w:val="008000"/>
      <w:sz w:val="30"/>
      <w:szCs w:val="30"/>
    </w:rPr>
  </w:style>
  <w:style w:type="paragraph" w:styleId="Revision">
    <w:name w:val="Revision"/>
    <w:hidden/>
    <w:uiPriority w:val="99"/>
    <w:semiHidden/>
    <w:rsid w:val="00030509"/>
    <w:rPr>
      <w:rFonts w:ascii="IRLotus" w:eastAsiaTheme="minorHAnsi" w:hAnsi="IRLotus" w:cs="IRLotus"/>
      <w:sz w:val="28"/>
      <w:szCs w:val="28"/>
    </w:rPr>
  </w:style>
  <w:style w:type="paragraph" w:customStyle="1" w:styleId="a7">
    <w:name w:val="اقوال علماء"/>
    <w:basedOn w:val="Normal"/>
    <w:link w:val="Char2"/>
    <w:qFormat/>
    <w:rsid w:val="00FA4664"/>
    <w:pPr>
      <w:spacing w:after="160" w:line="259" w:lineRule="auto"/>
      <w:ind w:left="720"/>
    </w:pPr>
    <w:rPr>
      <w:color w:val="000080"/>
    </w:rPr>
  </w:style>
  <w:style w:type="character" w:customStyle="1" w:styleId="Char2">
    <w:name w:val="اقوال علماء Char"/>
    <w:basedOn w:val="DefaultParagraphFont"/>
    <w:link w:val="a7"/>
    <w:rsid w:val="00FA4664"/>
    <w:rPr>
      <w:rFonts w:ascii="IRLotus" w:hAnsi="IRLotus" w:cs="IRLotus"/>
      <w:color w:val="000080"/>
      <w:sz w:val="30"/>
      <w:szCs w:val="30"/>
    </w:rPr>
  </w:style>
  <w:style w:type="character" w:customStyle="1" w:styleId="UnresolvedMention">
    <w:name w:val="Unresolved Mention"/>
    <w:basedOn w:val="DefaultParagraphFont"/>
    <w:uiPriority w:val="99"/>
    <w:semiHidden/>
    <w:unhideWhenUsed/>
    <w:rsid w:val="00F21840"/>
    <w:rPr>
      <w:color w:val="605E5C"/>
      <w:shd w:val="clear" w:color="auto" w:fill="E1DFDD"/>
    </w:rPr>
  </w:style>
  <w:style w:type="paragraph" w:styleId="NoSpacing">
    <w:name w:val="No Spacing"/>
    <w:uiPriority w:val="1"/>
    <w:qFormat/>
    <w:rsid w:val="00C54729"/>
    <w:pPr>
      <w:bidi/>
      <w:jc w:val="both"/>
    </w:pPr>
    <w:rPr>
      <w:rFonts w:ascii="IRLotus" w:eastAsiaTheme="minorHAnsi" w:hAnsi="IRLotus" w:cs="IRLotu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01674456">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54485194">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34983273">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222860189">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453555516">
      <w:bodyDiv w:val="1"/>
      <w:marLeft w:val="0"/>
      <w:marRight w:val="0"/>
      <w:marTop w:val="0"/>
      <w:marBottom w:val="0"/>
      <w:divBdr>
        <w:top w:val="none" w:sz="0" w:space="0" w:color="auto"/>
        <w:left w:val="none" w:sz="0" w:space="0" w:color="auto"/>
        <w:bottom w:val="none" w:sz="0" w:space="0" w:color="auto"/>
        <w:right w:val="none" w:sz="0" w:space="0" w:color="auto"/>
      </w:divBdr>
    </w:div>
    <w:div w:id="1470585748">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1944192667">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8" Type="http://schemas.openxmlformats.org/officeDocument/2006/relationships/hyperlink" Target="https://lib.eshia.ir/11021/3/304" TargetMode="External"/><Relationship Id="rId3" Type="http://schemas.openxmlformats.org/officeDocument/2006/relationships/hyperlink" Target="https://lib.eshia.ir/10083/4/31" TargetMode="External"/><Relationship Id="rId7" Type="http://schemas.openxmlformats.org/officeDocument/2006/relationships/hyperlink" Target="https://lib.eshia.ir/11005/5/128" TargetMode="External"/><Relationship Id="rId2" Type="http://schemas.openxmlformats.org/officeDocument/2006/relationships/hyperlink" Target="https://lib.eshia.ir/10083/4/30" TargetMode="External"/><Relationship Id="rId1" Type="http://schemas.openxmlformats.org/officeDocument/2006/relationships/hyperlink" Target="https://lib.eshia.ir/11005/3/540" TargetMode="External"/><Relationship Id="rId6" Type="http://schemas.openxmlformats.org/officeDocument/2006/relationships/hyperlink" Target="https://lib.eshia.ir/11005/5/136" TargetMode="External"/><Relationship Id="rId11" Type="http://schemas.openxmlformats.org/officeDocument/2006/relationships/hyperlink" Target="https://lib.eshia.ir/71553/1/285/%D8%B3%D8%A7%D9%84%D8%AA%D9%87_%D8%B9%D9%86_%D8%A7%D9%84%D8%B1%D8%AC%D9%84_%DB%8C%D8%A7%D8%AE%D8%B0_%D9%85%D9%86_%D9%85%D8%A7%D9%84_%D9%88%D9%84%D8%AF%D9%87_%D9%82%D8%A7%D9%84_%D9%84%D8%A7" TargetMode="External"/><Relationship Id="rId5" Type="http://schemas.openxmlformats.org/officeDocument/2006/relationships/hyperlink" Target="https://lib.eshia.ir/71553/1/284" TargetMode="External"/><Relationship Id="rId10" Type="http://schemas.openxmlformats.org/officeDocument/2006/relationships/hyperlink" Target="https://lib.eshia.ir/10083/6/345" TargetMode="External"/><Relationship Id="rId4" Type="http://schemas.openxmlformats.org/officeDocument/2006/relationships/hyperlink" Target="https://lib.eshia.ir/11021/3/304" TargetMode="External"/><Relationship Id="rId9" Type="http://schemas.openxmlformats.org/officeDocument/2006/relationships/hyperlink" Target="https://lib.eshia.ir/71553/1/284"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8C6C46-4C5E-48C1-A72B-0AA148A95D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125</TotalTime>
  <Pages>8</Pages>
  <Words>2391</Words>
  <Characters>13630</Characters>
  <Application>Microsoft Office Word</Application>
  <DocSecurity>0</DocSecurity>
  <Lines>113</Lines>
  <Paragraphs>31</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تقریرات دروس خارج مدرسه فقهی امام محمد باقر علیه السلام</vt:lpstr>
      <vt:lpstr>تقریرات دروس خارج مدرسه فقهی امام محمد باقر علیه السلام</vt:lpstr>
    </vt:vector>
  </TitlesOfParts>
  <Manager/>
  <Company>مدرسه فقهی امام محمد باقر علیه السلام</Company>
  <LinksUpToDate>false</LinksUpToDate>
  <CharactersWithSpaces>15990</CharactersWithSpaces>
  <SharedDoc>false</SharedDoc>
  <HyperlinkBase>www.mfeb.ir</HyperlinkBase>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تقریرات دروس خارج مدرسه فقهی امام محمد باقر علیه السلام</dc:title>
  <dc:subject>تقریر دروس خارج</dc:subject>
  <dc:creator>علی محمودزاده</dc:creator>
  <cp:keywords>تقریر، درس خارج</cp:keywords>
  <dc:description/>
  <cp:lastModifiedBy>احمد حسنی</cp:lastModifiedBy>
  <cp:revision>216</cp:revision>
  <cp:lastPrinted>2022-06-14T20:46:00Z</cp:lastPrinted>
  <dcterms:created xsi:type="dcterms:W3CDTF">2022-02-16T03:56:00Z</dcterms:created>
  <dcterms:modified xsi:type="dcterms:W3CDTF">2022-06-16T04:41:00Z</dcterms:modified>
  <cp:contentStatus/>
  <cp:version>2.7</cp:version>
</cp:coreProperties>
</file>