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DBCE41" w14:textId="77777777" w:rsidR="008B750B" w:rsidRPr="008A522A" w:rsidRDefault="00783473" w:rsidP="009547A9">
      <w:pPr>
        <w:jc w:val="center"/>
        <w:rPr>
          <w:rtl/>
        </w:rPr>
      </w:pPr>
      <w:r>
        <w:rPr>
          <w:rFonts w:hint="cs"/>
          <w:noProof/>
          <w:rtl/>
        </w:rPr>
        <w:drawing>
          <wp:inline distT="0" distB="0" distL="0" distR="0" wp14:anchorId="1E8446FA" wp14:editId="53A3A1D0">
            <wp:extent cx="723899" cy="241300"/>
            <wp:effectExtent l="0" t="0" r="635" b="63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esm.PNG"/>
                    <pic:cNvPicPr/>
                  </pic:nvPicPr>
                  <pic:blipFill>
                    <a:blip r:embed="rId8">
                      <a:extLst>
                        <a:ext uri="{28A0092B-C50C-407E-A947-70E740481C1C}">
                          <a14:useLocalDpi xmlns:a14="http://schemas.microsoft.com/office/drawing/2010/main" val="0"/>
                        </a:ext>
                      </a:extLst>
                    </a:blip>
                    <a:stretch>
                      <a:fillRect/>
                    </a:stretch>
                  </pic:blipFill>
                  <pic:spPr>
                    <a:xfrm>
                      <a:off x="0" y="0"/>
                      <a:ext cx="769508" cy="256503"/>
                    </a:xfrm>
                    <a:prstGeom prst="rect">
                      <a:avLst/>
                    </a:prstGeom>
                  </pic:spPr>
                </pic:pic>
              </a:graphicData>
            </a:graphic>
          </wp:inline>
        </w:drawing>
      </w:r>
    </w:p>
    <w:p w14:paraId="57DACA2E" w14:textId="77777777" w:rsidR="00D67BE3" w:rsidRDefault="00D67BE3" w:rsidP="00D67BE3">
      <w:pPr>
        <w:autoSpaceDE w:val="0"/>
        <w:autoSpaceDN w:val="0"/>
        <w:adjustRightInd w:val="0"/>
        <w:spacing w:line="240" w:lineRule="auto"/>
        <w:jc w:val="both"/>
        <w:rPr>
          <w:rFonts w:ascii="IRANSans" w:hAnsi="IRANSans" w:cs="IRANSans"/>
          <w:b/>
          <w:bCs/>
          <w:color w:val="C00000"/>
          <w:sz w:val="28"/>
          <w:shd w:val="clear" w:color="auto" w:fill="FFFFFF"/>
          <w:lang w:val="x-none"/>
        </w:rPr>
      </w:pPr>
      <w:r>
        <w:rPr>
          <w:rFonts w:ascii="IRANSans" w:hAnsi="IRANSans" w:cs="IRANSans"/>
          <w:b/>
          <w:bCs/>
          <w:color w:val="C00000"/>
          <w:sz w:val="28"/>
          <w:shd w:val="clear" w:color="auto" w:fill="FFFFFF"/>
          <w:rtl/>
          <w:lang w:val="x-none"/>
        </w:rPr>
        <w:t>درس خارج اصول استاد حاج سید محمد جواد شبیری</w:t>
      </w:r>
    </w:p>
    <w:p w14:paraId="7F8B1EF9" w14:textId="3EEF34E4" w:rsidR="00D67BE3" w:rsidRDefault="00D67BE3" w:rsidP="00D67BE3">
      <w:pPr>
        <w:autoSpaceDE w:val="0"/>
        <w:autoSpaceDN w:val="0"/>
        <w:adjustRightInd w:val="0"/>
        <w:spacing w:line="240" w:lineRule="auto"/>
        <w:jc w:val="both"/>
        <w:rPr>
          <w:rFonts w:ascii="IRANSans" w:hAnsi="IRANSans" w:cs="IRANSans"/>
          <w:b/>
          <w:bCs/>
          <w:color w:val="C00000"/>
          <w:sz w:val="28"/>
          <w:shd w:val="clear" w:color="auto" w:fill="FFFFFF"/>
          <w:lang w:val="x-none"/>
        </w:rPr>
      </w:pPr>
      <w:r>
        <w:rPr>
          <w:rFonts w:ascii="IRANSans" w:hAnsi="IRANSans" w:cs="IRANSans"/>
          <w:b/>
          <w:bCs/>
          <w:color w:val="C00000"/>
          <w:sz w:val="28"/>
          <w:shd w:val="clear" w:color="auto" w:fill="FFFFFF"/>
          <w:rtl/>
          <w:lang w:val="x-none"/>
        </w:rPr>
        <w:t>14020</w:t>
      </w:r>
      <w:r>
        <w:rPr>
          <w:rFonts w:ascii="IRANSans" w:hAnsi="IRANSans" w:cs="IRANSans" w:hint="cs"/>
          <w:b/>
          <w:bCs/>
          <w:color w:val="C00000"/>
          <w:sz w:val="28"/>
          <w:shd w:val="clear" w:color="auto" w:fill="FFFFFF"/>
          <w:rtl/>
          <w:lang w:val="x-none"/>
        </w:rPr>
        <w:t>703</w:t>
      </w:r>
      <w:r>
        <w:rPr>
          <w:rFonts w:hint="cs"/>
          <w:noProof/>
          <w:webHidden/>
          <w:rtl/>
        </w:rPr>
        <w:fldChar w:fldCharType="begin"/>
      </w:r>
      <w:r>
        <w:rPr>
          <w:rFonts w:hint="cs"/>
          <w:noProof/>
          <w:webHidden/>
          <w:rtl/>
        </w:rPr>
        <w:instrText xml:space="preserve"> </w:instrText>
      </w:r>
      <w:r>
        <w:rPr>
          <w:noProof/>
          <w:webHidden/>
        </w:rPr>
        <w:instrText>TOC</w:instrText>
      </w:r>
      <w:r>
        <w:rPr>
          <w:rFonts w:hint="cs"/>
          <w:noProof/>
          <w:webHidden/>
          <w:rtl/>
        </w:rPr>
        <w:instrText xml:space="preserve"> \</w:instrText>
      </w:r>
      <w:r>
        <w:rPr>
          <w:noProof/>
          <w:webHidden/>
        </w:rPr>
        <w:instrText>o "1-9" \h \z \u</w:instrText>
      </w:r>
      <w:r>
        <w:rPr>
          <w:rFonts w:hint="cs"/>
          <w:noProof/>
          <w:webHidden/>
          <w:rtl/>
        </w:rPr>
        <w:instrText xml:space="preserve"> </w:instrText>
      </w:r>
      <w:r>
        <w:rPr>
          <w:rFonts w:hint="cs"/>
          <w:noProof/>
          <w:webHidden/>
          <w:rtl/>
        </w:rPr>
        <w:fldChar w:fldCharType="end"/>
      </w:r>
    </w:p>
    <w:p w14:paraId="01848296" w14:textId="18627B1D" w:rsidR="00C91EB6" w:rsidRPr="00D67BE3" w:rsidRDefault="00D67BE3" w:rsidP="00D67BE3">
      <w:pPr>
        <w:rPr>
          <w:color w:val="984806" w:themeColor="accent6" w:themeShade="80"/>
        </w:rPr>
      </w:pPr>
      <w:r>
        <w:rPr>
          <w:rFonts w:hint="cs"/>
          <w:color w:val="984806" w:themeColor="accent6" w:themeShade="80"/>
          <w:rtl/>
        </w:rPr>
        <w:t>مقرر:</w:t>
      </w:r>
      <w:r>
        <w:rPr>
          <w:rFonts w:hint="cs"/>
          <w:color w:val="984806" w:themeColor="accent6" w:themeShade="80"/>
          <w:sz w:val="24"/>
          <w:rtl/>
        </w:rPr>
        <w:t xml:space="preserve"> مسعود عطارمنش </w:t>
      </w:r>
      <w:r>
        <w:rPr>
          <w:rFonts w:hint="cs"/>
          <w:color w:val="984806" w:themeColor="accent6" w:themeShade="80"/>
          <w:sz w:val="24"/>
        </w:rPr>
        <w:t xml:space="preserve"> </w:t>
      </w:r>
    </w:p>
    <w:p w14:paraId="5392686B" w14:textId="73393087" w:rsidR="00F343FB" w:rsidRPr="00A6366F" w:rsidRDefault="00F842AD" w:rsidP="002A707E">
      <w:pPr>
        <w:jc w:val="both"/>
      </w:pPr>
      <w:r w:rsidRPr="009C66D5">
        <w:rPr>
          <w:rStyle w:val="Emphasis"/>
          <w:rFonts w:hint="cs"/>
          <w:b/>
          <w:bCs w:val="0"/>
          <w:rtl/>
        </w:rPr>
        <w:t>موضوع</w:t>
      </w:r>
      <w:r w:rsidRPr="009C66D5">
        <w:rPr>
          <w:rStyle w:val="Emphasis"/>
          <w:rFonts w:hint="cs"/>
          <w:rtl/>
        </w:rPr>
        <w:t>:</w:t>
      </w:r>
      <w:r w:rsidR="00A6366F" w:rsidRPr="00A6366F">
        <w:rPr>
          <w:rFonts w:hint="cs"/>
          <w:rtl/>
        </w:rPr>
        <w:t xml:space="preserve"> </w:t>
      </w:r>
      <w:bookmarkStart w:id="0" w:name="BokSabj2_d"/>
      <w:bookmarkEnd w:id="0"/>
      <w:r w:rsidR="00570313">
        <w:rPr>
          <w:rFonts w:hint="cs"/>
          <w:rtl/>
        </w:rPr>
        <w:t>حقیقت</w:t>
      </w:r>
      <w:r w:rsidR="00C45241">
        <w:rPr>
          <w:rFonts w:hint="cs"/>
          <w:rtl/>
        </w:rPr>
        <w:t xml:space="preserve"> وضع</w:t>
      </w:r>
      <w:r w:rsidR="00386C11" w:rsidRPr="00A6366F">
        <w:rPr>
          <w:rFonts w:hint="cs"/>
          <w:rtl/>
        </w:rPr>
        <w:t>/</w:t>
      </w:r>
      <w:bookmarkStart w:id="1" w:name="BokSabj_d"/>
      <w:bookmarkEnd w:id="1"/>
      <w:r w:rsidR="00386C11" w:rsidRPr="00A6366F">
        <w:rPr>
          <w:rFonts w:hint="cs"/>
          <w:rtl/>
        </w:rPr>
        <w:t xml:space="preserve"> </w:t>
      </w:r>
      <w:r w:rsidR="00570313">
        <w:rPr>
          <w:rFonts w:hint="cs"/>
          <w:rtl/>
        </w:rPr>
        <w:t xml:space="preserve">مبحث </w:t>
      </w:r>
      <w:r w:rsidR="00C45241">
        <w:rPr>
          <w:rFonts w:hint="cs"/>
          <w:rtl/>
        </w:rPr>
        <w:t>وضع</w:t>
      </w:r>
      <w:r w:rsidR="00386C11" w:rsidRPr="00A6366F">
        <w:rPr>
          <w:rFonts w:hint="cs"/>
          <w:rtl/>
        </w:rPr>
        <w:t>/</w:t>
      </w:r>
      <w:bookmarkStart w:id="2" w:name="Bokkolli"/>
      <w:bookmarkEnd w:id="2"/>
      <w:r w:rsidR="00C45241">
        <w:rPr>
          <w:rFonts w:hint="cs"/>
          <w:rtl/>
        </w:rPr>
        <w:t>مقدم</w:t>
      </w:r>
      <w:r w:rsidR="00570313">
        <w:rPr>
          <w:rFonts w:hint="cs"/>
          <w:rtl/>
        </w:rPr>
        <w:t>ات</w:t>
      </w:r>
    </w:p>
    <w:p w14:paraId="32BCA5FE" w14:textId="77777777" w:rsidR="008F5B4D" w:rsidRPr="009C66D5" w:rsidRDefault="008F5B4D" w:rsidP="002A707E">
      <w:pPr>
        <w:jc w:val="both"/>
        <w:rPr>
          <w:rStyle w:val="Emphasis"/>
          <w:b/>
          <w:bCs w:val="0"/>
          <w:rtl/>
        </w:rPr>
      </w:pPr>
      <w:r w:rsidRPr="009C66D5">
        <w:rPr>
          <w:rStyle w:val="Emphasis"/>
          <w:rFonts w:hint="cs"/>
          <w:b/>
          <w:bCs w:val="0"/>
          <w:rtl/>
        </w:rPr>
        <w:t>خلاصه مباحث گذشته:</w:t>
      </w:r>
    </w:p>
    <w:p w14:paraId="0A38CD67" w14:textId="15763617" w:rsidR="003A6148" w:rsidRDefault="00660EDA" w:rsidP="002A707E">
      <w:pPr>
        <w:pBdr>
          <w:bottom w:val="double" w:sz="6" w:space="1" w:color="auto"/>
        </w:pBdr>
        <w:jc w:val="both"/>
        <w:rPr>
          <w:rtl/>
        </w:rPr>
      </w:pPr>
      <w:r>
        <w:rPr>
          <w:rFonts w:hint="cs"/>
          <w:rtl/>
        </w:rPr>
        <w:t>در سال پیش</w:t>
      </w:r>
      <w:r w:rsidR="002A707E">
        <w:rPr>
          <w:rFonts w:hint="cs"/>
          <w:rtl/>
        </w:rPr>
        <w:t>ِ</w:t>
      </w:r>
      <w:r>
        <w:rPr>
          <w:rtl/>
        </w:rPr>
        <w:softHyphen/>
      </w:r>
      <w:r>
        <w:rPr>
          <w:rFonts w:hint="cs"/>
          <w:rtl/>
        </w:rPr>
        <w:t xml:space="preserve"> رو قصد داریم بحث را از ابتدای اصول آغاز کنیم.</w:t>
      </w:r>
      <w:r w:rsidR="00AF4975">
        <w:rPr>
          <w:rFonts w:hint="cs"/>
          <w:rtl/>
        </w:rPr>
        <w:t xml:space="preserve"> البته برخی مباحث را حذف نموده و مباحث مدّ نظرمان را به صورت گزینشی مطرح می</w:t>
      </w:r>
      <w:r w:rsidR="00AF4975">
        <w:rPr>
          <w:rtl/>
        </w:rPr>
        <w:softHyphen/>
      </w:r>
      <w:r w:rsidR="00AF4975">
        <w:rPr>
          <w:rFonts w:hint="cs"/>
          <w:rtl/>
        </w:rPr>
        <w:t>کنیم. بحث تعریف علم اصول و ضابطۀ اصولی بودن یک مسأله را حذف می</w:t>
      </w:r>
      <w:r w:rsidR="00AF4975">
        <w:rPr>
          <w:rtl/>
        </w:rPr>
        <w:softHyphen/>
      </w:r>
      <w:r w:rsidR="00AF4975">
        <w:rPr>
          <w:rFonts w:hint="cs"/>
          <w:rtl/>
        </w:rPr>
        <w:t>کنیم و بحثمان را از ابتدای مبحث وضع، شروع می</w:t>
      </w:r>
      <w:r w:rsidR="00AF4975">
        <w:rPr>
          <w:rtl/>
        </w:rPr>
        <w:softHyphen/>
      </w:r>
      <w:r w:rsidR="00AF4975">
        <w:rPr>
          <w:rFonts w:hint="cs"/>
          <w:rtl/>
        </w:rPr>
        <w:t>کنیم. توجه به این نکته لازم است که ما علم اصول را به هر شکلی که تعریف کنیم بالأخره باید از این مباحثی که بالفعل در علم اصول بحث شده است، بحث کنیم لذا تعریف علم اصول در این که چه بحثی را مطرح بکنیم و چه بحثی را مطرح نکنیم اثرگذار نیست لذا با وجود این که تعریف علم اصول و بحث از موضوع علم اصول سودمند است اما به نظر می</w:t>
      </w:r>
      <w:r w:rsidR="00AF4975">
        <w:rPr>
          <w:rtl/>
        </w:rPr>
        <w:softHyphen/>
      </w:r>
      <w:r w:rsidR="00AF4975">
        <w:rPr>
          <w:rFonts w:hint="cs"/>
          <w:rtl/>
        </w:rPr>
        <w:t xml:space="preserve">رسد اولویت با مباحث دیگر است. </w:t>
      </w:r>
      <w:r>
        <w:rPr>
          <w:rFonts w:hint="cs"/>
          <w:rtl/>
        </w:rPr>
        <w:t xml:space="preserve">سابقاً قصد داشتیم آغاز بحثمان را مبحث اوامر قرار دهیم اما </w:t>
      </w:r>
      <w:r w:rsidR="00AF4975">
        <w:rPr>
          <w:rFonts w:hint="cs"/>
          <w:rtl/>
        </w:rPr>
        <w:t>این گونه به نظرمان رسید که برای روشن شدن بحث اوامر لازم است مباحث مقدماتی آن مطرح شود. بحث</w:t>
      </w:r>
      <w:r w:rsidR="00AF4975">
        <w:rPr>
          <w:rtl/>
        </w:rPr>
        <w:softHyphen/>
      </w:r>
      <w:r w:rsidR="00AF4975">
        <w:rPr>
          <w:rFonts w:hint="cs"/>
          <w:rtl/>
        </w:rPr>
        <w:t>های مربوط به حقیقت وضع و اقسام وضع، معنای حرفی و اسمی، معنای اخباری و انشائی بحث</w:t>
      </w:r>
      <w:r w:rsidR="00AF4975">
        <w:rPr>
          <w:rtl/>
        </w:rPr>
        <w:softHyphen/>
      </w:r>
      <w:r w:rsidR="00AF4975">
        <w:rPr>
          <w:rFonts w:hint="cs"/>
          <w:rtl/>
        </w:rPr>
        <w:t>های مقدماتیی هستند که لازم است به آن</w:t>
      </w:r>
      <w:r w:rsidR="00AF4975">
        <w:rPr>
          <w:rtl/>
        </w:rPr>
        <w:softHyphen/>
      </w:r>
      <w:r w:rsidR="00AF4975">
        <w:rPr>
          <w:rFonts w:hint="cs"/>
          <w:rtl/>
        </w:rPr>
        <w:t>ها بپردازیم؛ البته تنها به مقدار لازم به این مباحث مقدماتی می</w:t>
      </w:r>
      <w:r w:rsidR="00AF4975">
        <w:rPr>
          <w:rtl/>
        </w:rPr>
        <w:softHyphen/>
      </w:r>
      <w:r w:rsidR="00AF4975">
        <w:rPr>
          <w:rFonts w:hint="cs"/>
          <w:rtl/>
        </w:rPr>
        <w:t>پردازیم.</w:t>
      </w:r>
    </w:p>
    <w:p w14:paraId="6CCDE315" w14:textId="1F3FBB39" w:rsidR="00AF4975" w:rsidRDefault="00AF4975" w:rsidP="002A707E">
      <w:pPr>
        <w:pBdr>
          <w:bottom w:val="double" w:sz="6" w:space="1" w:color="auto"/>
        </w:pBdr>
        <w:jc w:val="both"/>
        <w:rPr>
          <w:rtl/>
        </w:rPr>
      </w:pPr>
      <w:r>
        <w:rPr>
          <w:rFonts w:hint="cs"/>
          <w:rtl/>
        </w:rPr>
        <w:t>خلاصه این که از بحث وضع شروع می</w:t>
      </w:r>
      <w:r>
        <w:rPr>
          <w:rtl/>
        </w:rPr>
        <w:softHyphen/>
      </w:r>
      <w:r>
        <w:rPr>
          <w:rFonts w:hint="cs"/>
          <w:rtl/>
        </w:rPr>
        <w:t>کنیم و یک سری از مباحثی که در ادامۀ وضع مطرح شده است را نیز حذف می</w:t>
      </w:r>
      <w:r>
        <w:rPr>
          <w:rtl/>
        </w:rPr>
        <w:softHyphen/>
      </w:r>
      <w:r>
        <w:rPr>
          <w:rFonts w:hint="cs"/>
          <w:rtl/>
        </w:rPr>
        <w:t>کنیم. در کفایة مبحث وضع در امر ثانی بحث شده است. ما امر ثالث و رابع و خامس و سادس را حذف می</w:t>
      </w:r>
      <w:r>
        <w:rPr>
          <w:rtl/>
        </w:rPr>
        <w:softHyphen/>
      </w:r>
      <w:r>
        <w:rPr>
          <w:rFonts w:hint="cs"/>
          <w:rtl/>
        </w:rPr>
        <w:t>کنیم و امر سابع را مورد بحث قرار می</w:t>
      </w:r>
      <w:r>
        <w:rPr>
          <w:rtl/>
        </w:rPr>
        <w:softHyphen/>
      </w:r>
      <w:r>
        <w:rPr>
          <w:rFonts w:hint="cs"/>
          <w:rtl/>
        </w:rPr>
        <w:t>دهیم. پس یک سری بحث</w:t>
      </w:r>
      <w:r>
        <w:rPr>
          <w:rtl/>
        </w:rPr>
        <w:softHyphen/>
      </w:r>
      <w:r>
        <w:rPr>
          <w:rFonts w:hint="cs"/>
          <w:rtl/>
        </w:rPr>
        <w:t>های جزئی در کفایه وجود دارد که آن</w:t>
      </w:r>
      <w:r>
        <w:rPr>
          <w:rtl/>
        </w:rPr>
        <w:softHyphen/>
      </w:r>
      <w:r>
        <w:rPr>
          <w:rFonts w:hint="cs"/>
          <w:rtl/>
        </w:rPr>
        <w:t>ها را حذف می</w:t>
      </w:r>
      <w:r>
        <w:rPr>
          <w:rtl/>
        </w:rPr>
        <w:softHyphen/>
      </w:r>
      <w:r>
        <w:rPr>
          <w:rFonts w:hint="cs"/>
          <w:rtl/>
        </w:rPr>
        <w:t>کنیم و به نکات اصلی مربوط به وضع و امثال آن می</w:t>
      </w:r>
      <w:r>
        <w:rPr>
          <w:rtl/>
        </w:rPr>
        <w:softHyphen/>
      </w:r>
      <w:r>
        <w:rPr>
          <w:rFonts w:hint="cs"/>
          <w:rtl/>
        </w:rPr>
        <w:t>پردازیم و بحث</w:t>
      </w:r>
      <w:r>
        <w:rPr>
          <w:rtl/>
        </w:rPr>
        <w:softHyphen/>
      </w:r>
      <w:r>
        <w:rPr>
          <w:rFonts w:hint="cs"/>
          <w:rtl/>
        </w:rPr>
        <w:t>های مرتبط با جزئیات و تطبیقات را مورد بحث قرار نمی</w:t>
      </w:r>
      <w:r>
        <w:rPr>
          <w:rtl/>
        </w:rPr>
        <w:softHyphen/>
      </w:r>
      <w:r>
        <w:rPr>
          <w:rFonts w:hint="cs"/>
          <w:rtl/>
        </w:rPr>
        <w:t>دهیم تا بتوانیم سریع</w:t>
      </w:r>
      <w:r>
        <w:rPr>
          <w:rtl/>
        </w:rPr>
        <w:softHyphen/>
      </w:r>
      <w:r>
        <w:rPr>
          <w:rFonts w:hint="cs"/>
          <w:rtl/>
        </w:rPr>
        <w:t>تر به بحث اصلی</w:t>
      </w:r>
      <w:r>
        <w:rPr>
          <w:rtl/>
        </w:rPr>
        <w:softHyphen/>
      </w:r>
      <w:r>
        <w:rPr>
          <w:rFonts w:hint="cs"/>
          <w:rtl/>
        </w:rPr>
        <w:t>مان که</w:t>
      </w:r>
      <w:r w:rsidR="002A707E">
        <w:rPr>
          <w:rFonts w:hint="cs"/>
          <w:rtl/>
        </w:rPr>
        <w:t xml:space="preserve"> آغازش از</w:t>
      </w:r>
      <w:r>
        <w:rPr>
          <w:rFonts w:hint="cs"/>
          <w:rtl/>
        </w:rPr>
        <w:t xml:space="preserve"> مبحث اوامر است برسیم. در خود این مباحث گزینش شده نیز اینگونه نیست که تمام مطالب را مطرح کنیم چون قصد داریم نسبتاً سریع از مباحث مقدماتی عبور کنیم.</w:t>
      </w:r>
    </w:p>
    <w:p w14:paraId="402CB0E0" w14:textId="77777777" w:rsidR="00247D2F" w:rsidRPr="003A6148" w:rsidRDefault="00247D2F" w:rsidP="002A707E">
      <w:pPr>
        <w:pBdr>
          <w:bottom w:val="double" w:sz="6" w:space="1" w:color="auto"/>
        </w:pBdr>
        <w:jc w:val="both"/>
      </w:pPr>
    </w:p>
    <w:p w14:paraId="0D8A4DA8" w14:textId="77777777" w:rsidR="008F5B4D" w:rsidRDefault="008F5B4D" w:rsidP="002A707E">
      <w:pPr>
        <w:jc w:val="both"/>
      </w:pPr>
    </w:p>
    <w:p w14:paraId="27638C1D" w14:textId="36F0DD32" w:rsidR="00660EDA" w:rsidRPr="00660EDA" w:rsidRDefault="00660EDA" w:rsidP="002A707E">
      <w:pPr>
        <w:pStyle w:val="Heading1"/>
        <w:jc w:val="both"/>
        <w:rPr>
          <w:rtl/>
        </w:rPr>
      </w:pPr>
      <w:bookmarkStart w:id="3" w:name="_Toc146558316"/>
      <w:r>
        <w:rPr>
          <w:rFonts w:hint="cs"/>
          <w:rtl/>
        </w:rPr>
        <w:t>حقیقت وضع</w:t>
      </w:r>
      <w:bookmarkEnd w:id="3"/>
    </w:p>
    <w:p w14:paraId="460DE7D9" w14:textId="55F07169" w:rsidR="001A1EA5" w:rsidRDefault="00C45241" w:rsidP="002A707E">
      <w:pPr>
        <w:jc w:val="both"/>
        <w:rPr>
          <w:rtl/>
        </w:rPr>
      </w:pPr>
      <w:r>
        <w:rPr>
          <w:rFonts w:hint="cs"/>
          <w:rtl/>
        </w:rPr>
        <w:t xml:space="preserve">محقق خراسانی در کفایه در امر ثانی </w:t>
      </w:r>
      <w:r w:rsidR="001F768C">
        <w:rPr>
          <w:rFonts w:hint="cs"/>
          <w:rtl/>
        </w:rPr>
        <w:t>به تعریف وضع پرداخته</w:t>
      </w:r>
      <w:r>
        <w:rPr>
          <w:rFonts w:hint="cs"/>
          <w:rtl/>
        </w:rPr>
        <w:t xml:space="preserve"> است</w:t>
      </w:r>
      <w:r w:rsidR="00DE0A60">
        <w:rPr>
          <w:rFonts w:hint="cs"/>
          <w:rtl/>
        </w:rPr>
        <w:t>.</w:t>
      </w:r>
    </w:p>
    <w:p w14:paraId="043BB652" w14:textId="2BD7728F" w:rsidR="00DE0A60" w:rsidRDefault="00DE0A60" w:rsidP="002A707E">
      <w:pPr>
        <w:pStyle w:val="Heading2"/>
        <w:jc w:val="both"/>
        <w:rPr>
          <w:rtl/>
        </w:rPr>
      </w:pPr>
      <w:bookmarkStart w:id="4" w:name="_Toc146558317"/>
      <w:r>
        <w:rPr>
          <w:rFonts w:hint="cs"/>
          <w:rtl/>
        </w:rPr>
        <w:lastRenderedPageBreak/>
        <w:t>تعریف وضع در</w:t>
      </w:r>
      <w:r w:rsidR="00A22217">
        <w:rPr>
          <w:rFonts w:hint="cs"/>
          <w:rtl/>
        </w:rPr>
        <w:t xml:space="preserve"> کلمات قوم و اشکال محقق خراسانی به آن</w:t>
      </w:r>
      <w:bookmarkEnd w:id="4"/>
    </w:p>
    <w:p w14:paraId="2D92861F" w14:textId="4CDD7E75" w:rsidR="00DE0A60" w:rsidRPr="00DE0A60" w:rsidRDefault="00DE0A60" w:rsidP="002A707E">
      <w:pPr>
        <w:jc w:val="both"/>
        <w:rPr>
          <w:rtl/>
        </w:rPr>
      </w:pPr>
      <w:r>
        <w:rPr>
          <w:rFonts w:hint="cs"/>
          <w:rtl/>
        </w:rPr>
        <w:t>محقق خراسانی در مقام تعریف وضع فرموده است:</w:t>
      </w:r>
    </w:p>
    <w:p w14:paraId="6E7EB73A" w14:textId="77777777" w:rsidR="00C45241" w:rsidRPr="00C45241" w:rsidRDefault="00C45241" w:rsidP="002A707E">
      <w:pPr>
        <w:jc w:val="both"/>
        <w:rPr>
          <w:rFonts w:cs="Times New Roman"/>
          <w:color w:val="000080"/>
          <w:sz w:val="24"/>
          <w:szCs w:val="24"/>
        </w:rPr>
      </w:pPr>
      <w:r w:rsidRPr="00C45241">
        <w:rPr>
          <w:rFonts w:hint="cs"/>
          <w:color w:val="000080"/>
          <w:rtl/>
        </w:rPr>
        <w:t>الثاني [تعريف الوضع و أقسامه‏]</w:t>
      </w:r>
    </w:p>
    <w:p w14:paraId="7A5E707F" w14:textId="31DEC7D8" w:rsidR="00C45241" w:rsidRPr="00C45241" w:rsidRDefault="00C45241" w:rsidP="002A707E">
      <w:pPr>
        <w:jc w:val="both"/>
        <w:rPr>
          <w:rFonts w:cs="Times New Roman"/>
          <w:color w:val="000080"/>
          <w:sz w:val="24"/>
          <w:szCs w:val="24"/>
          <w:rtl/>
        </w:rPr>
      </w:pPr>
      <w:r w:rsidRPr="00C45241">
        <w:rPr>
          <w:rFonts w:hint="cs"/>
          <w:color w:val="000080"/>
          <w:rtl/>
        </w:rPr>
        <w:t>الوضع هو نحو اختصاص للفظ بالمعنى و ارتباط خاص بينهما ناش من تخصيصه به تارة و من كثرة استعماله فيه أخرى و بهذا المعنى صح تقسيمه إلى التعييني و التعيني كما لا يخفى‏</w:t>
      </w:r>
      <w:r w:rsidRPr="00C45241">
        <w:rPr>
          <w:rFonts w:cs="Times New Roman" w:hint="cs"/>
          <w:color w:val="000080"/>
          <w:sz w:val="24"/>
          <w:szCs w:val="24"/>
          <w:rtl/>
        </w:rPr>
        <w:t>.</w:t>
      </w:r>
      <w:r>
        <w:rPr>
          <w:rStyle w:val="FootnoteReference"/>
          <w:rFonts w:cs="Times New Roman"/>
          <w:color w:val="000080"/>
          <w:sz w:val="24"/>
          <w:szCs w:val="24"/>
          <w:rtl/>
        </w:rPr>
        <w:footnoteReference w:id="1"/>
      </w:r>
    </w:p>
    <w:p w14:paraId="7CFE7DDD" w14:textId="212B2DB4" w:rsidR="00C45241" w:rsidRDefault="00DE0A60" w:rsidP="002A707E">
      <w:pPr>
        <w:jc w:val="both"/>
        <w:rPr>
          <w:rtl/>
        </w:rPr>
      </w:pPr>
      <w:r>
        <w:rPr>
          <w:rFonts w:hint="cs"/>
          <w:rtl/>
        </w:rPr>
        <w:t xml:space="preserve">معمولاً وضع، به معنای </w:t>
      </w:r>
      <w:r w:rsidR="002A707E">
        <w:rPr>
          <w:rFonts w:hint="cs"/>
          <w:rtl/>
        </w:rPr>
        <w:t>«</w:t>
      </w:r>
      <w:r>
        <w:rPr>
          <w:rFonts w:hint="cs"/>
          <w:rtl/>
        </w:rPr>
        <w:t>تخصیص اللفظ بالمعنی</w:t>
      </w:r>
      <w:r w:rsidR="002A707E">
        <w:rPr>
          <w:rFonts w:hint="cs"/>
          <w:rtl/>
        </w:rPr>
        <w:t>»</w:t>
      </w:r>
      <w:r>
        <w:rPr>
          <w:rFonts w:hint="cs"/>
          <w:rtl/>
        </w:rPr>
        <w:t xml:space="preserve"> دانسته شده است</w:t>
      </w:r>
      <w:r w:rsidR="002A707E">
        <w:rPr>
          <w:rFonts w:hint="cs"/>
          <w:rtl/>
        </w:rPr>
        <w:t>؛</w:t>
      </w:r>
      <w:r>
        <w:rPr>
          <w:rFonts w:hint="cs"/>
          <w:rtl/>
        </w:rPr>
        <w:t xml:space="preserve"> اما محقق خراسانی در صدد اشکال به تعریف دارج در کلمات قوم است. ایشان می</w:t>
      </w:r>
      <w:r>
        <w:rPr>
          <w:rtl/>
        </w:rPr>
        <w:softHyphen/>
      </w:r>
      <w:r>
        <w:rPr>
          <w:rFonts w:hint="cs"/>
          <w:rtl/>
        </w:rPr>
        <w:t>خواهد بفرماید شما از یک سو وضع را به معنای تخصیص لفظ برای معنا می</w:t>
      </w:r>
      <w:r>
        <w:rPr>
          <w:rtl/>
        </w:rPr>
        <w:softHyphen/>
      </w:r>
      <w:r>
        <w:rPr>
          <w:rFonts w:hint="cs"/>
          <w:rtl/>
        </w:rPr>
        <w:t>دانید اما از سوی دیگر آن را به دو قسم تعیینی و تعیّنی تقسیم می</w:t>
      </w:r>
      <w:r>
        <w:rPr>
          <w:rtl/>
        </w:rPr>
        <w:softHyphen/>
      </w:r>
      <w:r>
        <w:rPr>
          <w:rFonts w:hint="cs"/>
          <w:rtl/>
        </w:rPr>
        <w:t xml:space="preserve">کنید و حال آن که این دو </w:t>
      </w:r>
      <w:r w:rsidR="002A707E">
        <w:rPr>
          <w:rFonts w:hint="cs"/>
          <w:rtl/>
        </w:rPr>
        <w:t>رویکرد</w:t>
      </w:r>
      <w:r>
        <w:rPr>
          <w:rFonts w:hint="cs"/>
          <w:rtl/>
        </w:rPr>
        <w:t xml:space="preserve"> با هم سازگاری ندارد چون در وضع تعیّنی تخصیص در کار نیست بلکه لفظ به صورت خودکار و ناخودآگاه به معنا اختصاص می</w:t>
      </w:r>
      <w:r>
        <w:rPr>
          <w:rtl/>
        </w:rPr>
        <w:softHyphen/>
      </w:r>
      <w:r>
        <w:rPr>
          <w:rFonts w:hint="cs"/>
          <w:rtl/>
        </w:rPr>
        <w:t xml:space="preserve">یابد </w:t>
      </w:r>
      <w:r w:rsidR="002A707E">
        <w:rPr>
          <w:rFonts w:hint="cs"/>
          <w:rtl/>
        </w:rPr>
        <w:t>در نتیجه</w:t>
      </w:r>
      <w:r>
        <w:rPr>
          <w:rFonts w:hint="cs"/>
          <w:rtl/>
        </w:rPr>
        <w:t xml:space="preserve"> ما باید در تعریف وضع مفهوم اختصاص را درج کنیم نه مفهوم تخصیص.</w:t>
      </w:r>
    </w:p>
    <w:p w14:paraId="5E223CAB" w14:textId="1DC63E7E" w:rsidR="00DE0A60" w:rsidRDefault="00DE0A60" w:rsidP="002A707E">
      <w:pPr>
        <w:pStyle w:val="Heading3"/>
        <w:jc w:val="both"/>
        <w:rPr>
          <w:rtl/>
        </w:rPr>
      </w:pPr>
      <w:bookmarkStart w:id="5" w:name="_Toc146558318"/>
      <w:r>
        <w:rPr>
          <w:rFonts w:hint="cs"/>
          <w:rtl/>
        </w:rPr>
        <w:t>اشکال و جوابی در تعریف محقق خراسانی</w:t>
      </w:r>
      <w:bookmarkEnd w:id="5"/>
    </w:p>
    <w:p w14:paraId="595816D4" w14:textId="5D07C73F" w:rsidR="00DE0A60" w:rsidRDefault="00DE0A60" w:rsidP="002A707E">
      <w:pPr>
        <w:jc w:val="both"/>
        <w:rPr>
          <w:rtl/>
        </w:rPr>
      </w:pPr>
      <w:r>
        <w:rPr>
          <w:rFonts w:hint="cs"/>
          <w:rtl/>
        </w:rPr>
        <w:t>نسبت به تعریف محقق خراسانی اشکالی مطرح می</w:t>
      </w:r>
      <w:r>
        <w:rPr>
          <w:rtl/>
        </w:rPr>
        <w:softHyphen/>
      </w:r>
      <w:r>
        <w:rPr>
          <w:rFonts w:hint="cs"/>
          <w:rtl/>
        </w:rPr>
        <w:t xml:space="preserve">شود مبنی بر این که ایشان فرمودند: </w:t>
      </w:r>
      <w:r w:rsidR="002A707E">
        <w:rPr>
          <w:rFonts w:hint="cs"/>
          <w:rtl/>
        </w:rPr>
        <w:t>«</w:t>
      </w:r>
      <w:r w:rsidRPr="00C45241">
        <w:rPr>
          <w:rFonts w:hint="cs"/>
          <w:color w:val="000080"/>
          <w:rtl/>
        </w:rPr>
        <w:t>الوضع هو نحو اختصاص للفظ بالمعنى</w:t>
      </w:r>
      <w:r>
        <w:rPr>
          <w:rFonts w:hint="cs"/>
          <w:color w:val="000080"/>
          <w:rtl/>
        </w:rPr>
        <w:t xml:space="preserve"> </w:t>
      </w:r>
      <w:r w:rsidRPr="00C45241">
        <w:rPr>
          <w:rFonts w:hint="cs"/>
          <w:color w:val="000080"/>
          <w:rtl/>
        </w:rPr>
        <w:t>و ارتباط خاص بينهما</w:t>
      </w:r>
      <w:r w:rsidR="002A707E">
        <w:rPr>
          <w:rFonts w:hint="cs"/>
          <w:color w:val="000080"/>
          <w:rtl/>
        </w:rPr>
        <w:t>»</w:t>
      </w:r>
      <w:r>
        <w:rPr>
          <w:rFonts w:hint="cs"/>
          <w:color w:val="000080"/>
          <w:rtl/>
        </w:rPr>
        <w:t xml:space="preserve"> </w:t>
      </w:r>
      <w:r w:rsidRPr="00DE0A60">
        <w:rPr>
          <w:rFonts w:hint="cs"/>
          <w:rtl/>
        </w:rPr>
        <w:t>ولی هیچ توضیحی در مورد نحوۀ اختصاص و ارتباطی که بین لفظ و معنا برقرار است نمی</w:t>
      </w:r>
      <w:r w:rsidRPr="00DE0A60">
        <w:rPr>
          <w:rtl/>
        </w:rPr>
        <w:softHyphen/>
      </w:r>
      <w:r w:rsidRPr="00DE0A60">
        <w:rPr>
          <w:rFonts w:hint="cs"/>
          <w:rtl/>
        </w:rPr>
        <w:t>دهند.</w:t>
      </w:r>
      <w:r>
        <w:rPr>
          <w:rFonts w:hint="cs"/>
          <w:rtl/>
        </w:rPr>
        <w:t xml:space="preserve"> این اختصاص و ارتباط به چه نحو است؟</w:t>
      </w:r>
    </w:p>
    <w:p w14:paraId="791BA1BF" w14:textId="0E05213C" w:rsidR="00DE0A60" w:rsidRDefault="00DE0A60" w:rsidP="002A707E">
      <w:pPr>
        <w:jc w:val="both"/>
        <w:rPr>
          <w:rtl/>
        </w:rPr>
      </w:pPr>
      <w:r>
        <w:rPr>
          <w:rFonts w:hint="cs"/>
          <w:rtl/>
        </w:rPr>
        <w:t>البته ایشان در عبارت کفایه در مقام بیان جزئیات تعریف وضع نیستند بلکه صرفاً بر این نکته تکیه دارند که حقیق</w:t>
      </w:r>
      <w:r w:rsidR="002A707E">
        <w:rPr>
          <w:rFonts w:hint="cs"/>
          <w:rtl/>
        </w:rPr>
        <w:t>ت</w:t>
      </w:r>
      <w:r>
        <w:rPr>
          <w:rFonts w:hint="cs"/>
          <w:rtl/>
        </w:rPr>
        <w:t xml:space="preserve"> وضع، از مقولۀ تخصیص نیست بلکه از مقولة اختصاص است. در تقریرات درس آخوند که اخیراً تحت عنوان «البحوث الاصولیه» به چاپ رسیده، تعریف را دقیق</w:t>
      </w:r>
      <w:r>
        <w:rPr>
          <w:rtl/>
        </w:rPr>
        <w:softHyphen/>
      </w:r>
      <w:r>
        <w:rPr>
          <w:rFonts w:hint="cs"/>
          <w:rtl/>
        </w:rPr>
        <w:t xml:space="preserve">تر بیان کرده است و به این اشکال پرداخته شده است که چه ویژگی و خصوصیتی </w:t>
      </w:r>
      <w:r w:rsidR="002A707E">
        <w:rPr>
          <w:rFonts w:hint="cs"/>
          <w:rtl/>
        </w:rPr>
        <w:t>م</w:t>
      </w:r>
      <w:r>
        <w:rPr>
          <w:rFonts w:hint="cs"/>
          <w:rtl/>
        </w:rPr>
        <w:t>قوّم حقیقت وضع است.</w:t>
      </w:r>
    </w:p>
    <w:p w14:paraId="7B3DF0E1" w14:textId="3D60EE2A" w:rsidR="00DE0A60" w:rsidRPr="007E7347" w:rsidRDefault="00DE0A60" w:rsidP="007E7347">
      <w:pPr>
        <w:jc w:val="both"/>
        <w:rPr>
          <w:color w:val="0070C0"/>
          <w:rtl/>
        </w:rPr>
      </w:pPr>
      <w:r w:rsidRPr="007E7347">
        <w:rPr>
          <w:rFonts w:hint="cs"/>
          <w:color w:val="0070C0"/>
          <w:rtl/>
        </w:rPr>
        <w:t xml:space="preserve">الأمر الثانی </w:t>
      </w:r>
      <w:r w:rsidR="00A506AD" w:rsidRPr="007E7347">
        <w:rPr>
          <w:rFonts w:hint="cs"/>
          <w:color w:val="0070C0"/>
          <w:rtl/>
        </w:rPr>
        <w:t xml:space="preserve">فی الوضع و هو بحسب حقیقته و واقع مفهومه مع الإغماض عمّا یتسبّب به الیه </w:t>
      </w:r>
      <w:r w:rsidR="00A506AD" w:rsidRPr="007E7347">
        <w:rPr>
          <w:rFonts w:hint="cs"/>
          <w:rtl/>
        </w:rPr>
        <w:t>(ایشان می</w:t>
      </w:r>
      <w:r w:rsidR="00A506AD" w:rsidRPr="007E7347">
        <w:rPr>
          <w:rtl/>
        </w:rPr>
        <w:softHyphen/>
      </w:r>
      <w:r w:rsidR="00A506AD" w:rsidRPr="007E7347">
        <w:rPr>
          <w:rFonts w:hint="cs"/>
          <w:rtl/>
        </w:rPr>
        <w:t>فرماید حقیقت وضع با صرف نظر از عاملی که منشأ ایجاد آن شده عبارت است از</w:t>
      </w:r>
      <w:r w:rsidR="00A506AD" w:rsidRPr="007E7347">
        <w:rPr>
          <w:rFonts w:hint="cs"/>
          <w:color w:val="0070C0"/>
          <w:rtl/>
        </w:rPr>
        <w:t xml:space="preserve">) عبارة عن </w:t>
      </w:r>
      <w:r w:rsidR="00196F18" w:rsidRPr="007E7347">
        <w:rPr>
          <w:rFonts w:hint="cs"/>
          <w:color w:val="0070C0"/>
          <w:rtl/>
        </w:rPr>
        <w:t>علقة</w:t>
      </w:r>
      <w:r w:rsidR="00A506AD" w:rsidRPr="007E7347">
        <w:rPr>
          <w:rFonts w:hint="cs"/>
          <w:color w:val="0070C0"/>
          <w:rtl/>
        </w:rPr>
        <w:t xml:space="preserve"> خاصة و ارتباط خاص بین اللفظ و المعنی یصیر لسببه قالباً له </w:t>
      </w:r>
      <w:r w:rsidR="00A506AD" w:rsidRPr="007E7347">
        <w:rPr>
          <w:rFonts w:hint="cs"/>
          <w:rtl/>
        </w:rPr>
        <w:t>(یعنی به سبب وضع، لفظ قالب برای معنا می</w:t>
      </w:r>
      <w:r w:rsidR="00A506AD" w:rsidRPr="007E7347">
        <w:rPr>
          <w:rtl/>
        </w:rPr>
        <w:softHyphen/>
      </w:r>
      <w:r w:rsidR="00A506AD" w:rsidRPr="007E7347">
        <w:rPr>
          <w:rFonts w:hint="cs"/>
          <w:rtl/>
        </w:rPr>
        <w:t>شود)</w:t>
      </w:r>
      <w:r w:rsidR="00A506AD" w:rsidRPr="007E7347">
        <w:rPr>
          <w:rFonts w:hint="cs"/>
          <w:color w:val="0070C0"/>
          <w:rtl/>
        </w:rPr>
        <w:t xml:space="preserve"> بل فانیاً فیه فناء العنوان فی المعنون فیکون من مراتب وجود المعنی </w:t>
      </w:r>
      <w:r w:rsidR="00A506AD" w:rsidRPr="007E7347">
        <w:rPr>
          <w:rFonts w:hint="cs"/>
          <w:rtl/>
        </w:rPr>
        <w:t>(یعنی فیکون اللفظ من مراتب وجود المعنی)</w:t>
      </w:r>
      <w:r w:rsidR="00A506AD" w:rsidRPr="007E7347">
        <w:rPr>
          <w:rFonts w:hint="cs"/>
          <w:color w:val="0070C0"/>
          <w:rtl/>
        </w:rPr>
        <w:t xml:space="preserve"> و لذا تری سرایة ما للمعنی من المزایا نحو اللفظ لکون اللفظ مع ثبوت هذه </w:t>
      </w:r>
      <w:r w:rsidR="00A506AD" w:rsidRPr="007E7347">
        <w:rPr>
          <w:rFonts w:hint="cs"/>
          <w:color w:val="0070C0"/>
          <w:rtl/>
        </w:rPr>
        <w:lastRenderedPageBreak/>
        <w:t>العلقة و الإضافة بینه و بین المعنی طوراً من اطوار وجوده و نحواً من تحقّقه فی الخارج فی عرض سائر أنحاء تحققاته من الخارج و الذهن و الکتب و الایماء و الإشارة.</w:t>
      </w:r>
      <w:r w:rsidR="00A506AD" w:rsidRPr="007E7347">
        <w:rPr>
          <w:color w:val="0070C0"/>
          <w:vertAlign w:val="superscript"/>
          <w:rtl/>
        </w:rPr>
        <w:footnoteReference w:id="2"/>
      </w:r>
    </w:p>
    <w:p w14:paraId="049F054C" w14:textId="5A8CD7AB" w:rsidR="00A506AD" w:rsidRPr="00A506AD" w:rsidRDefault="00196F18" w:rsidP="007E7347">
      <w:pPr>
        <w:rPr>
          <w:rtl/>
        </w:rPr>
      </w:pPr>
      <w:r>
        <w:rPr>
          <w:rFonts w:hint="cs"/>
          <w:rtl/>
        </w:rPr>
        <w:t>ایشان در ای</w:t>
      </w:r>
      <w:r w:rsidR="00A506AD" w:rsidRPr="00A506AD">
        <w:rPr>
          <w:rFonts w:hint="cs"/>
          <w:rtl/>
        </w:rPr>
        <w:t xml:space="preserve">ن تقریرات یک مقداری حقیقت وضع را </w:t>
      </w:r>
      <w:r w:rsidR="002A707E">
        <w:rPr>
          <w:rFonts w:hint="cs"/>
          <w:rtl/>
        </w:rPr>
        <w:t>تشریح</w:t>
      </w:r>
      <w:r w:rsidR="00A506AD" w:rsidRPr="00A506AD">
        <w:rPr>
          <w:rFonts w:hint="cs"/>
          <w:rtl/>
        </w:rPr>
        <w:t xml:space="preserve"> کرده</w:t>
      </w:r>
      <w:r w:rsidR="00A506AD" w:rsidRPr="00A506AD">
        <w:rPr>
          <w:rtl/>
        </w:rPr>
        <w:softHyphen/>
      </w:r>
      <w:r w:rsidR="00A506AD" w:rsidRPr="00A506AD">
        <w:rPr>
          <w:rFonts w:hint="cs"/>
          <w:rtl/>
        </w:rPr>
        <w:t xml:space="preserve">اند و </w:t>
      </w:r>
      <w:r w:rsidR="002A707E">
        <w:rPr>
          <w:rFonts w:hint="cs"/>
          <w:rtl/>
        </w:rPr>
        <w:t>پس از آن</w:t>
      </w:r>
      <w:r w:rsidR="00A506AD" w:rsidRPr="00A506AD">
        <w:rPr>
          <w:rFonts w:hint="cs"/>
          <w:rtl/>
        </w:rPr>
        <w:t xml:space="preserve"> نیز بحث</w:t>
      </w:r>
      <w:r w:rsidR="00A506AD" w:rsidRPr="00A506AD">
        <w:rPr>
          <w:rtl/>
        </w:rPr>
        <w:softHyphen/>
      </w:r>
      <w:r w:rsidR="00A506AD" w:rsidRPr="00A506AD">
        <w:rPr>
          <w:rFonts w:hint="cs"/>
          <w:rtl/>
        </w:rPr>
        <w:t>هایی دارند که در ادامه به آن خواهیم پرداخت.</w:t>
      </w:r>
    </w:p>
    <w:p w14:paraId="36B7033A" w14:textId="753FD1CA" w:rsidR="00A506AD" w:rsidRDefault="00A506AD" w:rsidP="002A707E">
      <w:pPr>
        <w:pStyle w:val="Heading3"/>
        <w:jc w:val="both"/>
        <w:rPr>
          <w:rtl/>
        </w:rPr>
      </w:pPr>
      <w:bookmarkStart w:id="6" w:name="_Toc146558319"/>
      <w:r>
        <w:rPr>
          <w:rFonts w:hint="cs"/>
          <w:rtl/>
        </w:rPr>
        <w:t xml:space="preserve">اشتراک لفظی واژۀ «وضع» در </w:t>
      </w:r>
      <w:r w:rsidR="001D109E">
        <w:rPr>
          <w:rFonts w:hint="cs"/>
          <w:rtl/>
        </w:rPr>
        <w:t>اصطلاح اصولیین و لغویین</w:t>
      </w:r>
      <w:bookmarkEnd w:id="6"/>
    </w:p>
    <w:p w14:paraId="5B5C5160" w14:textId="0C71DED7" w:rsidR="001D109E" w:rsidRDefault="001D109E" w:rsidP="002A707E">
      <w:pPr>
        <w:jc w:val="both"/>
        <w:rPr>
          <w:rtl/>
        </w:rPr>
      </w:pPr>
      <w:r>
        <w:rPr>
          <w:rFonts w:hint="cs"/>
          <w:rtl/>
        </w:rPr>
        <w:t>به نظر می</w:t>
      </w:r>
      <w:r>
        <w:rPr>
          <w:rtl/>
        </w:rPr>
        <w:softHyphen/>
      </w:r>
      <w:r>
        <w:rPr>
          <w:rFonts w:hint="cs"/>
          <w:rtl/>
        </w:rPr>
        <w:t>رسد واژۀ وضع در اصطلاح اصولیین و لغویین مشترک لفظی است. این واژه گاهی به معنای تخصیص بکار می</w:t>
      </w:r>
      <w:r>
        <w:rPr>
          <w:rtl/>
        </w:rPr>
        <w:softHyphen/>
      </w:r>
      <w:r>
        <w:rPr>
          <w:rFonts w:hint="cs"/>
          <w:rtl/>
        </w:rPr>
        <w:t>رود که به دو قسم تعیینی و تعیّنی تقسیم</w:t>
      </w:r>
      <w:r>
        <w:rPr>
          <w:rtl/>
        </w:rPr>
        <w:softHyphen/>
      </w:r>
      <w:r>
        <w:rPr>
          <w:rFonts w:hint="cs"/>
          <w:rtl/>
        </w:rPr>
        <w:t>پذیر نیست. اما گاهی وضع به معنای اختصاص پیدا کردن بکار می</w:t>
      </w:r>
      <w:r>
        <w:rPr>
          <w:rtl/>
        </w:rPr>
        <w:softHyphen/>
      </w:r>
      <w:r>
        <w:rPr>
          <w:rFonts w:hint="cs"/>
          <w:rtl/>
        </w:rPr>
        <w:t>رود که به دو قسم تعیینی و تعیّنی تقسیم</w:t>
      </w:r>
      <w:r>
        <w:rPr>
          <w:rtl/>
        </w:rPr>
        <w:softHyphen/>
      </w:r>
      <w:r>
        <w:rPr>
          <w:rFonts w:hint="cs"/>
          <w:rtl/>
        </w:rPr>
        <w:t>پذیر است. بنابراین اینکه محقق خراسانی تقسیم</w:t>
      </w:r>
      <w:r>
        <w:rPr>
          <w:rtl/>
        </w:rPr>
        <w:softHyphen/>
      </w:r>
      <w:r>
        <w:rPr>
          <w:rFonts w:hint="cs"/>
          <w:rtl/>
        </w:rPr>
        <w:t xml:space="preserve">پذیری وضع، به دو قسم را مفروض گرفتند و بر اساس آن فرمودند وضع به معنای اختصاص است </w:t>
      </w:r>
      <w:r w:rsidR="002A707E">
        <w:rPr>
          <w:rFonts w:hint="cs"/>
          <w:rtl/>
        </w:rPr>
        <w:t xml:space="preserve">ادعایی </w:t>
      </w:r>
      <w:r>
        <w:rPr>
          <w:rFonts w:hint="cs"/>
          <w:rtl/>
        </w:rPr>
        <w:t>بلا دلیل است. بله در جایی که وضع به دو قسم تقسیم شود، لزوماً به معنای اختصاص است اما دلیلی ندارد همه</w:t>
      </w:r>
      <w:r>
        <w:rPr>
          <w:rtl/>
        </w:rPr>
        <w:softHyphen/>
      </w:r>
      <w:r w:rsidR="00196F18">
        <w:rPr>
          <w:rFonts w:hint="cs"/>
          <w:rtl/>
        </w:rPr>
        <w:t>جا این تق</w:t>
      </w:r>
      <w:r>
        <w:rPr>
          <w:rFonts w:hint="cs"/>
          <w:rtl/>
        </w:rPr>
        <w:t xml:space="preserve">سیم دوگانه را مفروض </w:t>
      </w:r>
      <w:r w:rsidR="002A707E">
        <w:rPr>
          <w:rFonts w:hint="cs"/>
          <w:rtl/>
        </w:rPr>
        <w:t>دانسته</w:t>
      </w:r>
      <w:r>
        <w:rPr>
          <w:rFonts w:hint="cs"/>
          <w:rtl/>
        </w:rPr>
        <w:t xml:space="preserve"> و وضع را به معنای اختصاص بدانیم.</w:t>
      </w:r>
    </w:p>
    <w:p w14:paraId="1B67A68C" w14:textId="3557B9BD" w:rsidR="002F3B9F" w:rsidRDefault="002F3B9F" w:rsidP="002A707E">
      <w:pPr>
        <w:pStyle w:val="Heading3"/>
        <w:jc w:val="both"/>
        <w:rPr>
          <w:rtl/>
        </w:rPr>
      </w:pPr>
      <w:bookmarkStart w:id="7" w:name="_Toc146558320"/>
      <w:r>
        <w:rPr>
          <w:rFonts w:hint="cs"/>
          <w:rtl/>
        </w:rPr>
        <w:t>مصدر بودن واژۀ وضع برای فعل معلوم و مجهول</w:t>
      </w:r>
      <w:bookmarkEnd w:id="7"/>
    </w:p>
    <w:p w14:paraId="34E5D0BE" w14:textId="6DBB5E81" w:rsidR="002F3B9F" w:rsidRDefault="001D109E" w:rsidP="002A707E">
      <w:pPr>
        <w:jc w:val="both"/>
        <w:rPr>
          <w:rtl/>
        </w:rPr>
      </w:pPr>
      <w:r>
        <w:rPr>
          <w:rFonts w:hint="cs"/>
          <w:rtl/>
        </w:rPr>
        <w:t xml:space="preserve">واژۀ وضع در اصل، مصدر است: «وضعتُه وضعاً». بسیاری از مصادر علاوه بر اینکه مصدر فعل معلوم هستند، مصدر فعل مجهول نیز هستند. بطور مثال در آیۀ شریفۀ </w:t>
      </w:r>
      <w:r>
        <w:rPr>
          <w:rFonts w:cs="Times New Roman"/>
          <w:rtl/>
        </w:rPr>
        <w:t>﴿</w:t>
      </w:r>
      <w:r w:rsidRPr="001D109E">
        <w:rPr>
          <w:color w:val="008000"/>
          <w:rtl/>
        </w:rPr>
        <w:t xml:space="preserve"> غُلِبَتِ الرُّوم‏</w:t>
      </w:r>
      <w:r w:rsidRPr="001D109E">
        <w:rPr>
          <w:rFonts w:hint="cs"/>
          <w:color w:val="008000"/>
          <w:rtl/>
        </w:rPr>
        <w:t xml:space="preserve"> </w:t>
      </w:r>
      <w:r>
        <w:rPr>
          <w:rFonts w:hint="cs"/>
          <w:color w:val="008000"/>
          <w:rtl/>
        </w:rPr>
        <w:t xml:space="preserve">* </w:t>
      </w:r>
      <w:r w:rsidRPr="001D109E">
        <w:rPr>
          <w:color w:val="008000"/>
          <w:rtl/>
        </w:rPr>
        <w:t>في‏ أَدْنَى الْأَرْضِ وَ هُمْ مِنْ بَعْدِ غَلَبِهِمْ سَيَغْلِبُون</w:t>
      </w:r>
      <w:r w:rsidR="00667966">
        <w:rPr>
          <w:rFonts w:hint="cs"/>
          <w:color w:val="008000"/>
          <w:rtl/>
        </w:rPr>
        <w:t>*</w:t>
      </w:r>
      <w:r w:rsidRPr="001D109E">
        <w:rPr>
          <w:color w:val="008000"/>
          <w:rtl/>
        </w:rPr>
        <w:t>‏</w:t>
      </w:r>
      <w:r w:rsidRPr="006C2654">
        <w:rPr>
          <w:rFonts w:cs="Times New Roman"/>
          <w:color w:val="008000"/>
          <w:rtl/>
        </w:rPr>
        <w:t>﴾</w:t>
      </w:r>
      <w:r w:rsidRPr="001D109E">
        <w:rPr>
          <w:rStyle w:val="FootnoteReference"/>
          <w:color w:val="008000"/>
          <w:rtl/>
        </w:rPr>
        <w:footnoteReference w:id="3"/>
      </w:r>
      <w:r>
        <w:rPr>
          <w:rFonts w:cs="Calibri" w:hint="cs"/>
          <w:color w:val="008000"/>
          <w:rtl/>
        </w:rPr>
        <w:t xml:space="preserve"> </w:t>
      </w:r>
      <w:r>
        <w:rPr>
          <w:rFonts w:hint="cs"/>
          <w:rtl/>
        </w:rPr>
        <w:t xml:space="preserve">واژۀ «غَلَب» که به معنای غلبه است، هم مصدر «غَلَبَ یغلِبُ» است </w:t>
      </w:r>
      <w:r>
        <w:rPr>
          <w:rFonts w:cs="Cambria" w:hint="cs"/>
          <w:rtl/>
        </w:rPr>
        <w:t>_</w:t>
      </w:r>
      <w:r>
        <w:rPr>
          <w:rFonts w:hint="cs"/>
          <w:rtl/>
        </w:rPr>
        <w:t>که متعدّی و معلوم است</w:t>
      </w:r>
      <w:r>
        <w:rPr>
          <w:rFonts w:cs="Cambria" w:hint="cs"/>
          <w:rtl/>
        </w:rPr>
        <w:t>_</w:t>
      </w:r>
      <w:r>
        <w:rPr>
          <w:rFonts w:hint="cs"/>
          <w:rtl/>
        </w:rPr>
        <w:t xml:space="preserve"> هم مصدر «غُلِبَ یُغلَبُ» است. در این آیۀ شریفه می</w:t>
      </w:r>
      <w:r>
        <w:rPr>
          <w:rtl/>
        </w:rPr>
        <w:softHyphen/>
      </w:r>
      <w:r>
        <w:rPr>
          <w:rFonts w:hint="cs"/>
          <w:rtl/>
        </w:rPr>
        <w:t>فرماید</w:t>
      </w:r>
      <w:r w:rsidR="002F3B9F">
        <w:rPr>
          <w:rFonts w:hint="cs"/>
          <w:rtl/>
        </w:rPr>
        <w:t xml:space="preserve"> </w:t>
      </w:r>
      <w:r w:rsidR="002F3B9F">
        <w:rPr>
          <w:rFonts w:cs="Times New Roman"/>
          <w:rtl/>
        </w:rPr>
        <w:t>﴿</w:t>
      </w:r>
      <w:r w:rsidR="002F3B9F" w:rsidRPr="001D109E">
        <w:rPr>
          <w:color w:val="008000"/>
          <w:rtl/>
        </w:rPr>
        <w:t xml:space="preserve"> غُلِبَتِ الرُّوم‏</w:t>
      </w:r>
      <w:r w:rsidR="002F3B9F" w:rsidRPr="001D109E">
        <w:rPr>
          <w:rFonts w:hint="cs"/>
          <w:color w:val="008000"/>
          <w:rtl/>
        </w:rPr>
        <w:t xml:space="preserve"> </w:t>
      </w:r>
      <w:r w:rsidR="002F3B9F" w:rsidRPr="001D109E">
        <w:rPr>
          <w:color w:val="008000"/>
          <w:rtl/>
        </w:rPr>
        <w:t>‏</w:t>
      </w:r>
      <w:r w:rsidR="002F3B9F" w:rsidRPr="006C2654">
        <w:rPr>
          <w:rFonts w:cs="Times New Roman"/>
          <w:color w:val="008000"/>
          <w:rtl/>
        </w:rPr>
        <w:t>﴾</w:t>
      </w:r>
      <w:r w:rsidR="002F3B9F" w:rsidRPr="001D109E">
        <w:rPr>
          <w:rStyle w:val="FootnoteReference"/>
          <w:color w:val="008000"/>
          <w:rtl/>
        </w:rPr>
        <w:footnoteReference w:id="4"/>
      </w:r>
      <w:r w:rsidR="002F3B9F">
        <w:rPr>
          <w:rFonts w:cs="Calibri" w:hint="cs"/>
          <w:color w:val="008000"/>
          <w:rtl/>
        </w:rPr>
        <w:t xml:space="preserve"> </w:t>
      </w:r>
      <w:r w:rsidR="002F3B9F">
        <w:rPr>
          <w:rFonts w:hint="cs"/>
          <w:rtl/>
        </w:rPr>
        <w:t>یعنی روم مغلوب شد و سپس می</w:t>
      </w:r>
      <w:r w:rsidR="002F3B9F">
        <w:rPr>
          <w:rtl/>
        </w:rPr>
        <w:softHyphen/>
      </w:r>
      <w:r w:rsidR="002F3B9F">
        <w:rPr>
          <w:rFonts w:hint="cs"/>
          <w:rtl/>
        </w:rPr>
        <w:t>فرماید</w:t>
      </w:r>
      <w:r w:rsidR="002F3B9F">
        <w:rPr>
          <w:rFonts w:cs="Times New Roman"/>
          <w:rtl/>
        </w:rPr>
        <w:t>﴿</w:t>
      </w:r>
      <w:r w:rsidR="002F3B9F" w:rsidRPr="001D109E">
        <w:rPr>
          <w:color w:val="008000"/>
          <w:rtl/>
        </w:rPr>
        <w:t xml:space="preserve"> هُمْ مِنْ بَعْدِ غَلَبِهِمْ سَيَغْلِبُون ‏</w:t>
      </w:r>
      <w:r w:rsidR="002F3B9F" w:rsidRPr="006C2654">
        <w:rPr>
          <w:rFonts w:cs="Times New Roman"/>
          <w:color w:val="008000"/>
          <w:rtl/>
        </w:rPr>
        <w:t>﴾</w:t>
      </w:r>
      <w:r w:rsidR="002F3B9F" w:rsidRPr="001D109E">
        <w:rPr>
          <w:rStyle w:val="FootnoteReference"/>
          <w:color w:val="008000"/>
          <w:rtl/>
        </w:rPr>
        <w:footnoteReference w:id="5"/>
      </w:r>
      <w:r w:rsidR="002F3B9F">
        <w:rPr>
          <w:rFonts w:cs="Calibri" w:hint="cs"/>
          <w:color w:val="008000"/>
          <w:rtl/>
        </w:rPr>
        <w:t xml:space="preserve"> </w:t>
      </w:r>
      <w:r w:rsidR="002F3B9F">
        <w:rPr>
          <w:rFonts w:hint="cs"/>
          <w:rtl/>
        </w:rPr>
        <w:t xml:space="preserve"> یعنی بعد از مغلوب شدندشان پیروز خواهند شد. پس برخی مصادر همچون واژۀ «غَلَب» هم می</w:t>
      </w:r>
      <w:r w:rsidR="002F3B9F">
        <w:rPr>
          <w:rtl/>
        </w:rPr>
        <w:softHyphen/>
      </w:r>
      <w:r w:rsidR="002F3B9F">
        <w:rPr>
          <w:rFonts w:hint="cs"/>
          <w:rtl/>
        </w:rPr>
        <w:t>توانند مصدر فعل معلوم باشند و هم می</w:t>
      </w:r>
      <w:r w:rsidR="002F3B9F">
        <w:rPr>
          <w:rtl/>
        </w:rPr>
        <w:softHyphen/>
      </w:r>
      <w:r w:rsidR="002F3B9F">
        <w:rPr>
          <w:rFonts w:hint="cs"/>
          <w:rtl/>
        </w:rPr>
        <w:t>توانند مصدر فعل مجهول باشند.</w:t>
      </w:r>
    </w:p>
    <w:p w14:paraId="6A55B733" w14:textId="4513E263" w:rsidR="002F3B9F" w:rsidRDefault="002F3B9F" w:rsidP="002A707E">
      <w:pPr>
        <w:pStyle w:val="Heading2"/>
        <w:jc w:val="both"/>
        <w:rPr>
          <w:rtl/>
        </w:rPr>
      </w:pPr>
      <w:bookmarkStart w:id="8" w:name="_Toc146558321"/>
      <w:r>
        <w:rPr>
          <w:rFonts w:hint="cs"/>
          <w:rtl/>
        </w:rPr>
        <w:lastRenderedPageBreak/>
        <w:t>ادامۀ کلام محقق خراسانی در تبیین حقیقت وضع</w:t>
      </w:r>
      <w:r w:rsidR="00A22217">
        <w:rPr>
          <w:rFonts w:hint="cs"/>
          <w:rtl/>
        </w:rPr>
        <w:t>: اسم مصدر بودن واژۀ «وضع»</w:t>
      </w:r>
      <w:bookmarkEnd w:id="8"/>
    </w:p>
    <w:p w14:paraId="77049224" w14:textId="0784B2A3" w:rsidR="001D109E" w:rsidRDefault="002F3B9F" w:rsidP="002A707E">
      <w:pPr>
        <w:jc w:val="both"/>
        <w:rPr>
          <w:rtl/>
        </w:rPr>
      </w:pPr>
      <w:r>
        <w:rPr>
          <w:rFonts w:hint="cs"/>
          <w:rtl/>
        </w:rPr>
        <w:t xml:space="preserve">تذکر این نکته مناسب است که </w:t>
      </w:r>
      <w:r w:rsidR="00667966">
        <w:rPr>
          <w:rFonts w:hint="cs"/>
          <w:rtl/>
        </w:rPr>
        <w:t xml:space="preserve">محقق خراسانی </w:t>
      </w:r>
      <w:r>
        <w:rPr>
          <w:rFonts w:hint="cs"/>
          <w:rtl/>
        </w:rPr>
        <w:t xml:space="preserve">در تقریرات </w:t>
      </w:r>
      <w:r>
        <w:rPr>
          <w:rFonts w:cs="Cambria" w:hint="cs"/>
          <w:rtl/>
        </w:rPr>
        <w:t>_</w:t>
      </w:r>
      <w:r>
        <w:rPr>
          <w:rFonts w:hint="cs"/>
          <w:rtl/>
        </w:rPr>
        <w:t>پس از ذکر توضیحاتی که قصد ورود به آن را نداریم، بعد از توضیح اینکه وضع به معنای اختصاص لفظ برای معنا است و اقسام آن را نیز ذکر می</w:t>
      </w:r>
      <w:r>
        <w:rPr>
          <w:rtl/>
        </w:rPr>
        <w:softHyphen/>
      </w:r>
      <w:r>
        <w:rPr>
          <w:rFonts w:hint="cs"/>
          <w:rtl/>
        </w:rPr>
        <w:t>کنند که در مورد برخی از آن</w:t>
      </w:r>
      <w:r>
        <w:rPr>
          <w:rtl/>
        </w:rPr>
        <w:softHyphen/>
      </w:r>
      <w:r>
        <w:rPr>
          <w:rFonts w:hint="cs"/>
          <w:rtl/>
        </w:rPr>
        <w:t>ها صحبت خواهیم کرد</w:t>
      </w:r>
      <w:r>
        <w:rPr>
          <w:rFonts w:cs="Cambria" w:hint="cs"/>
          <w:rtl/>
        </w:rPr>
        <w:t>_</w:t>
      </w:r>
      <w:r>
        <w:rPr>
          <w:rFonts w:hint="cs"/>
          <w:rtl/>
        </w:rPr>
        <w:t xml:space="preserve">  می</w:t>
      </w:r>
      <w:r>
        <w:rPr>
          <w:rtl/>
        </w:rPr>
        <w:softHyphen/>
      </w:r>
      <w:r>
        <w:rPr>
          <w:rFonts w:hint="cs"/>
          <w:rtl/>
        </w:rPr>
        <w:t>فرماید:</w:t>
      </w:r>
    </w:p>
    <w:p w14:paraId="5D3539D6" w14:textId="7CCA1A2D" w:rsidR="002F3B9F" w:rsidRPr="00A22217" w:rsidRDefault="002F3B9F" w:rsidP="002A707E">
      <w:pPr>
        <w:jc w:val="both"/>
        <w:rPr>
          <w:color w:val="000080"/>
          <w:rtl/>
        </w:rPr>
      </w:pPr>
      <w:r w:rsidRPr="00A22217">
        <w:rPr>
          <w:rFonts w:hint="cs"/>
          <w:color w:val="000080"/>
          <w:rtl/>
        </w:rPr>
        <w:t xml:space="preserve">فالمقصود بالبیان «الوضع» بمعناه الاسمی المعبّر عنه فی الفارسی ب«قرارداد» و هو من مقولة الإضافة الخاصة المتمحضة فی اختصاص اللفظ بالمعنی فی جهة الدلالة و الکشف عنه دون «الوضع» بمعناه المصدری </w:t>
      </w:r>
      <w:r w:rsidRPr="00A22217">
        <w:rPr>
          <w:rFonts w:cs="Cambria" w:hint="cs"/>
          <w:color w:val="000080"/>
          <w:rtl/>
        </w:rPr>
        <w:t>_</w:t>
      </w:r>
      <w:r w:rsidRPr="00A22217">
        <w:rPr>
          <w:rFonts w:hint="cs"/>
          <w:color w:val="000080"/>
          <w:rtl/>
        </w:rPr>
        <w:t>بمعنی «قرار دادن»</w:t>
      </w:r>
      <w:r w:rsidRPr="00A22217">
        <w:rPr>
          <w:rFonts w:cs="Cambria" w:hint="cs"/>
          <w:color w:val="000080"/>
          <w:rtl/>
        </w:rPr>
        <w:t>_</w:t>
      </w:r>
      <w:r w:rsidRPr="00A22217">
        <w:rPr>
          <w:rFonts w:hint="cs"/>
          <w:color w:val="000080"/>
          <w:rtl/>
        </w:rPr>
        <w:t xml:space="preserve"> الذی هو فعل الواضع و صنعه.</w:t>
      </w:r>
      <w:r w:rsidR="00A22217">
        <w:rPr>
          <w:rStyle w:val="FootnoteReference"/>
          <w:color w:val="000080"/>
          <w:rtl/>
        </w:rPr>
        <w:footnoteReference w:id="6"/>
      </w:r>
    </w:p>
    <w:p w14:paraId="72E3D5D2" w14:textId="7501195B" w:rsidR="002F3B9F" w:rsidRDefault="00A22217" w:rsidP="002A707E">
      <w:pPr>
        <w:jc w:val="both"/>
        <w:rPr>
          <w:rtl/>
        </w:rPr>
      </w:pPr>
      <w:r>
        <w:rPr>
          <w:rFonts w:hint="cs"/>
          <w:rtl/>
        </w:rPr>
        <w:t>ایشان می</w:t>
      </w:r>
      <w:r>
        <w:rPr>
          <w:rtl/>
        </w:rPr>
        <w:softHyphen/>
      </w:r>
      <w:r>
        <w:rPr>
          <w:rFonts w:hint="cs"/>
          <w:rtl/>
        </w:rPr>
        <w:t>فرماید مقصود از وضع در اینجا، معنای اسم مصدری است نه مصدری.</w:t>
      </w:r>
    </w:p>
    <w:p w14:paraId="4636B078" w14:textId="0C12AF01" w:rsidR="00A22217" w:rsidRDefault="00A22217" w:rsidP="002A707E">
      <w:pPr>
        <w:pStyle w:val="Heading3"/>
        <w:jc w:val="both"/>
        <w:rPr>
          <w:rtl/>
        </w:rPr>
      </w:pPr>
      <w:bookmarkStart w:id="9" w:name="_Toc146558322"/>
      <w:r>
        <w:rPr>
          <w:rFonts w:hint="cs"/>
          <w:rtl/>
        </w:rPr>
        <w:t>نادرستی ادعای اسم مصدر بودن واژۀ «وضع»</w:t>
      </w:r>
      <w:bookmarkEnd w:id="9"/>
    </w:p>
    <w:p w14:paraId="46C950C1" w14:textId="4AEB6149" w:rsidR="00A22217" w:rsidRDefault="00A22217" w:rsidP="002A707E">
      <w:pPr>
        <w:jc w:val="both"/>
        <w:rPr>
          <w:rtl/>
        </w:rPr>
      </w:pPr>
      <w:r>
        <w:rPr>
          <w:rFonts w:hint="cs"/>
          <w:rtl/>
        </w:rPr>
        <w:t>ادعای محقق خراسانی مبنی بر اینکه واژۀ «وضع» به معنای اسم مصدری است، ادعای صحیحی نیست. ما در بحث قاعدۀ لا ضرر به شکل مفصل به این بحث پرداخته</w:t>
      </w:r>
      <w:r>
        <w:rPr>
          <w:rtl/>
        </w:rPr>
        <w:softHyphen/>
      </w:r>
      <w:r>
        <w:rPr>
          <w:rFonts w:hint="cs"/>
          <w:rtl/>
        </w:rPr>
        <w:t>ایم. محقق سیستانی در فرق بین ضرر و ضرار چنین فرموده</w:t>
      </w:r>
      <w:r>
        <w:rPr>
          <w:rtl/>
        </w:rPr>
        <w:softHyphen/>
      </w:r>
      <w:r>
        <w:rPr>
          <w:rFonts w:hint="cs"/>
          <w:rtl/>
        </w:rPr>
        <w:t>اند که ضرر، اسم مصدر است و ضرار مصدر است. ایشان در ادامه ضرر را چنین معنا می</w:t>
      </w:r>
      <w:r>
        <w:rPr>
          <w:rtl/>
        </w:rPr>
        <w:softHyphen/>
      </w:r>
      <w:r>
        <w:rPr>
          <w:rFonts w:hint="cs"/>
          <w:rtl/>
        </w:rPr>
        <w:t>کنند: «</w:t>
      </w:r>
      <w:r w:rsidRPr="00A22217">
        <w:rPr>
          <w:rFonts w:hint="cs"/>
          <w:color w:val="000080"/>
          <w:rtl/>
        </w:rPr>
        <w:t>المنقصة الواردة علی المتضرّر</w:t>
      </w:r>
      <w:r>
        <w:rPr>
          <w:rFonts w:hint="cs"/>
          <w:rtl/>
        </w:rPr>
        <w:t>»</w:t>
      </w:r>
      <w:r>
        <w:rPr>
          <w:rStyle w:val="FootnoteReference"/>
          <w:rtl/>
        </w:rPr>
        <w:footnoteReference w:id="7"/>
      </w:r>
      <w:r>
        <w:rPr>
          <w:rFonts w:hint="cs"/>
          <w:rtl/>
        </w:rPr>
        <w:t xml:space="preserve"> و بر ادعای خویش نتایجی را در تفسیر حقیقت قاعدۀ لا ضرر مترتب نموده</w:t>
      </w:r>
      <w:r>
        <w:rPr>
          <w:rtl/>
        </w:rPr>
        <w:softHyphen/>
      </w:r>
      <w:r>
        <w:rPr>
          <w:rFonts w:hint="cs"/>
          <w:rtl/>
        </w:rPr>
        <w:t>اند که قصد نداریم به آن وارد شویم.</w:t>
      </w:r>
    </w:p>
    <w:p w14:paraId="43001C7D" w14:textId="3BA5E326" w:rsidR="00A22217" w:rsidRDefault="00A22217" w:rsidP="002A707E">
      <w:pPr>
        <w:jc w:val="both"/>
        <w:rPr>
          <w:rtl/>
        </w:rPr>
      </w:pPr>
      <w:r>
        <w:rPr>
          <w:rFonts w:hint="cs"/>
          <w:rtl/>
        </w:rPr>
        <w:t>ما در آن بحث می</w:t>
      </w:r>
      <w:r>
        <w:rPr>
          <w:rtl/>
        </w:rPr>
        <w:softHyphen/>
      </w:r>
      <w:r>
        <w:rPr>
          <w:rFonts w:hint="cs"/>
          <w:rtl/>
        </w:rPr>
        <w:t>گفتیم بین مصدر و اسم مصدر از جهت ذات معنا تفاوتی وجود ندارد. برای روشن شدن مطلب به تناسب بحث لا ضرر به مثالی از همان بحث اشاره می</w:t>
      </w:r>
      <w:r>
        <w:rPr>
          <w:rtl/>
        </w:rPr>
        <w:softHyphen/>
      </w:r>
      <w:r>
        <w:rPr>
          <w:rFonts w:hint="cs"/>
          <w:rtl/>
        </w:rPr>
        <w:t>کنیم تا تفاوت بین مصدر و اسم مصدر روشن شود.</w:t>
      </w:r>
    </w:p>
    <w:p w14:paraId="0924B365" w14:textId="77777777" w:rsidR="00B030B0" w:rsidRDefault="00A22217" w:rsidP="002A707E">
      <w:pPr>
        <w:jc w:val="both"/>
        <w:rPr>
          <w:rtl/>
        </w:rPr>
      </w:pPr>
      <w:r>
        <w:rPr>
          <w:rFonts w:hint="cs"/>
          <w:rtl/>
        </w:rPr>
        <w:t>در بحث ضرر، چند مفهوم وجود دارد</w:t>
      </w:r>
      <w:r w:rsidR="00B030B0">
        <w:rPr>
          <w:rFonts w:hint="cs"/>
          <w:rtl/>
        </w:rPr>
        <w:t xml:space="preserve"> که باید از هم تفکیک شوند</w:t>
      </w:r>
      <w:r>
        <w:rPr>
          <w:rFonts w:hint="cs"/>
          <w:rtl/>
        </w:rPr>
        <w:t>؛ یک مفهوم، عبارت است از آسیب زدن، و مفهوم دیگر عبارت است از آسیب</w:t>
      </w:r>
      <w:r>
        <w:rPr>
          <w:rtl/>
        </w:rPr>
        <w:softHyphen/>
      </w:r>
      <w:r>
        <w:rPr>
          <w:rFonts w:hint="cs"/>
          <w:rtl/>
        </w:rPr>
        <w:t>زنی؛ آسیب</w:t>
      </w:r>
      <w:r>
        <w:rPr>
          <w:rtl/>
        </w:rPr>
        <w:softHyphen/>
      </w:r>
      <w:r>
        <w:rPr>
          <w:rFonts w:hint="cs"/>
          <w:rtl/>
        </w:rPr>
        <w:t xml:space="preserve">زنی اسم مصدر است برای آسیب زدن. </w:t>
      </w:r>
      <w:r w:rsidR="00B030B0">
        <w:rPr>
          <w:rFonts w:hint="cs"/>
          <w:rtl/>
        </w:rPr>
        <w:t xml:space="preserve">در سمت مقابل </w:t>
      </w:r>
      <w:r>
        <w:rPr>
          <w:rFonts w:hint="cs"/>
          <w:rtl/>
        </w:rPr>
        <w:t>دو مفهوم دیگر نیز وجود دارد که عبارتند از آسیب دیدن و آسیب</w:t>
      </w:r>
      <w:r>
        <w:rPr>
          <w:rtl/>
        </w:rPr>
        <w:softHyphen/>
      </w:r>
      <w:r>
        <w:rPr>
          <w:rFonts w:hint="cs"/>
          <w:rtl/>
        </w:rPr>
        <w:t>بینی</w:t>
      </w:r>
      <w:r w:rsidR="00B030B0">
        <w:rPr>
          <w:rFonts w:hint="cs"/>
          <w:rtl/>
        </w:rPr>
        <w:t>.</w:t>
      </w:r>
    </w:p>
    <w:p w14:paraId="3CC398DF" w14:textId="77777777" w:rsidR="00B030B0" w:rsidRDefault="00B030B0" w:rsidP="002A707E">
      <w:pPr>
        <w:jc w:val="both"/>
        <w:rPr>
          <w:rtl/>
        </w:rPr>
      </w:pPr>
      <w:r>
        <w:rPr>
          <w:rFonts w:hint="cs"/>
          <w:rtl/>
        </w:rPr>
        <w:t>گاهی فعل «ضَرَّ یضُرُّ» به باب تفعّل رفته و می</w:t>
      </w:r>
      <w:r>
        <w:rPr>
          <w:rtl/>
        </w:rPr>
        <w:softHyphen/>
      </w:r>
      <w:r>
        <w:rPr>
          <w:rFonts w:hint="cs"/>
          <w:rtl/>
        </w:rPr>
        <w:t>شود «تَضَرَّرَ یَتَضَرَّرُ تَضَرُّراً»؛ تضرّر خودش مصدر است اما مصدر مطاوعه است. مصدر مطاوعه با اسم مصدر ثلاثی مجرد فرق دارد؛ اسم مصدر همان مصدر است یعنی بیانگر همان وصفی است که مصبّش فاعل است با این تفاوت که ما در اسم مصدر انتساب فعل به فاعل را در نظر نمی</w:t>
      </w:r>
      <w:r>
        <w:rPr>
          <w:rtl/>
        </w:rPr>
        <w:softHyphen/>
      </w:r>
      <w:r>
        <w:rPr>
          <w:rFonts w:hint="cs"/>
          <w:rtl/>
        </w:rPr>
        <w:t>گیریم. به طور مثال آسیب</w:t>
      </w:r>
      <w:r>
        <w:rPr>
          <w:rtl/>
        </w:rPr>
        <w:softHyphen/>
      </w:r>
      <w:r>
        <w:rPr>
          <w:rFonts w:hint="cs"/>
          <w:rtl/>
        </w:rPr>
        <w:t>رسانی، وصف کیست؟ یا به عبارتی موصوف آسیب</w:t>
      </w:r>
      <w:r>
        <w:rPr>
          <w:rtl/>
        </w:rPr>
        <w:softHyphen/>
      </w:r>
      <w:r>
        <w:rPr>
          <w:rFonts w:hint="cs"/>
          <w:rtl/>
        </w:rPr>
        <w:t>رسانی کیست؟ پاسخ آن است که آسیب</w:t>
      </w:r>
      <w:r>
        <w:rPr>
          <w:rtl/>
        </w:rPr>
        <w:softHyphen/>
      </w:r>
      <w:r>
        <w:rPr>
          <w:rFonts w:hint="cs"/>
          <w:rtl/>
        </w:rPr>
        <w:t>رسانی (نیز همچون آسیب رساندن) وصف آسیب</w:t>
      </w:r>
      <w:r>
        <w:rPr>
          <w:rtl/>
        </w:rPr>
        <w:softHyphen/>
      </w:r>
      <w:r>
        <w:rPr>
          <w:rFonts w:hint="cs"/>
          <w:rtl/>
        </w:rPr>
        <w:t>رسان است.</w:t>
      </w:r>
    </w:p>
    <w:p w14:paraId="6608050A" w14:textId="36CC8924" w:rsidR="00A22217" w:rsidRDefault="00B030B0" w:rsidP="002A707E">
      <w:pPr>
        <w:jc w:val="both"/>
        <w:rPr>
          <w:rtl/>
        </w:rPr>
      </w:pPr>
      <w:r>
        <w:rPr>
          <w:rFonts w:hint="cs"/>
          <w:rtl/>
        </w:rPr>
        <w:lastRenderedPageBreak/>
        <w:t>همچنین باید دانست آسیب</w:t>
      </w:r>
      <w:r>
        <w:rPr>
          <w:rtl/>
        </w:rPr>
        <w:softHyphen/>
      </w:r>
      <w:r>
        <w:rPr>
          <w:rFonts w:hint="cs"/>
          <w:rtl/>
        </w:rPr>
        <w:t>رسانی غیر از آسیب</w:t>
      </w:r>
      <w:r>
        <w:rPr>
          <w:rtl/>
        </w:rPr>
        <w:softHyphen/>
      </w:r>
      <w:r>
        <w:rPr>
          <w:rFonts w:hint="cs"/>
          <w:rtl/>
        </w:rPr>
        <w:t>بینی است چون آسیب</w:t>
      </w:r>
      <w:r>
        <w:rPr>
          <w:rtl/>
        </w:rPr>
        <w:softHyphen/>
      </w:r>
      <w:r>
        <w:rPr>
          <w:rFonts w:hint="cs"/>
          <w:rtl/>
        </w:rPr>
        <w:t>رسانی اسم مصدر آسیب رساندن است اما آسیب</w:t>
      </w:r>
      <w:r>
        <w:rPr>
          <w:rtl/>
        </w:rPr>
        <w:softHyphen/>
      </w:r>
      <w:r>
        <w:rPr>
          <w:rFonts w:hint="cs"/>
          <w:rtl/>
        </w:rPr>
        <w:t>بینی اسم مصدر آسیب دیدن است.</w:t>
      </w:r>
    </w:p>
    <w:p w14:paraId="5FB5F3A8" w14:textId="588B2588" w:rsidR="00B030B0" w:rsidRDefault="00B030B0" w:rsidP="002A707E">
      <w:pPr>
        <w:jc w:val="both"/>
        <w:rPr>
          <w:rtl/>
        </w:rPr>
      </w:pPr>
      <w:r>
        <w:rPr>
          <w:rFonts w:hint="cs"/>
          <w:rtl/>
        </w:rPr>
        <w:t>به عبارت دیگر گاهی فعل متعدّی ثلاثی مجرد به باب تفعل رفته و به معنای مطاوعه می</w:t>
      </w:r>
      <w:r>
        <w:rPr>
          <w:rtl/>
        </w:rPr>
        <w:softHyphen/>
      </w:r>
      <w:r>
        <w:rPr>
          <w:rFonts w:hint="cs"/>
          <w:rtl/>
        </w:rPr>
        <w:t>شود و خود این مطاوعه گاهی مجهول می</w:t>
      </w:r>
      <w:r>
        <w:rPr>
          <w:rtl/>
        </w:rPr>
        <w:softHyphen/>
      </w:r>
      <w:r>
        <w:rPr>
          <w:rFonts w:hint="cs"/>
          <w:rtl/>
        </w:rPr>
        <w:t xml:space="preserve">شود پس </w:t>
      </w:r>
      <w:r w:rsidR="006915E1">
        <w:rPr>
          <w:rFonts w:hint="cs"/>
          <w:rtl/>
        </w:rPr>
        <w:t>ما می</w:t>
      </w:r>
      <w:r w:rsidR="006915E1">
        <w:rPr>
          <w:rtl/>
        </w:rPr>
        <w:softHyphen/>
      </w:r>
      <w:r w:rsidR="006915E1">
        <w:rPr>
          <w:rFonts w:hint="cs"/>
          <w:rtl/>
        </w:rPr>
        <w:t>توانیم سه معنای مصدری تصویر کنیم که هر کدام اسم مصدر خودش را دارد:</w:t>
      </w:r>
    </w:p>
    <w:p w14:paraId="6D2BCA97" w14:textId="071FB2A7" w:rsidR="006915E1" w:rsidRDefault="006915E1" w:rsidP="002A707E">
      <w:pPr>
        <w:jc w:val="both"/>
        <w:rPr>
          <w:rtl/>
        </w:rPr>
      </w:pPr>
      <w:r w:rsidRPr="006915E1">
        <w:rPr>
          <w:rFonts w:hint="cs"/>
          <w:b/>
          <w:bCs/>
          <w:rtl/>
        </w:rPr>
        <w:t>مصدر معلوم</w:t>
      </w:r>
      <w:r>
        <w:rPr>
          <w:rFonts w:hint="cs"/>
          <w:rtl/>
        </w:rPr>
        <w:t xml:space="preserve">: یک مفهوم عبارت است از «ضرّ یضرّ ضرراً» که به معنای </w:t>
      </w:r>
      <w:r w:rsidR="004D437D">
        <w:rPr>
          <w:rFonts w:hint="cs"/>
          <w:rtl/>
        </w:rPr>
        <w:t>«</w:t>
      </w:r>
      <w:r>
        <w:rPr>
          <w:rFonts w:hint="cs"/>
          <w:rtl/>
        </w:rPr>
        <w:t>ضرر زدن</w:t>
      </w:r>
      <w:r w:rsidR="004D437D">
        <w:rPr>
          <w:rFonts w:hint="cs"/>
          <w:rtl/>
        </w:rPr>
        <w:t>»</w:t>
      </w:r>
      <w:r>
        <w:rPr>
          <w:rFonts w:hint="cs"/>
          <w:rtl/>
        </w:rPr>
        <w:t xml:space="preserve"> است.</w:t>
      </w:r>
    </w:p>
    <w:p w14:paraId="5A7837E3" w14:textId="1355D77A" w:rsidR="006915E1" w:rsidRDefault="006915E1" w:rsidP="002A707E">
      <w:pPr>
        <w:jc w:val="both"/>
        <w:rPr>
          <w:rtl/>
        </w:rPr>
      </w:pPr>
      <w:r w:rsidRPr="006915E1">
        <w:rPr>
          <w:rFonts w:hint="cs"/>
          <w:b/>
          <w:bCs/>
          <w:rtl/>
        </w:rPr>
        <w:t>مصدر مجهول</w:t>
      </w:r>
      <w:r>
        <w:rPr>
          <w:rFonts w:hint="cs"/>
          <w:rtl/>
        </w:rPr>
        <w:t xml:space="preserve">: مفهوم دیگر عبارت است از «ضُرَّ» که به معنای </w:t>
      </w:r>
      <w:r w:rsidR="004D437D">
        <w:rPr>
          <w:rFonts w:hint="cs"/>
          <w:rtl/>
        </w:rPr>
        <w:t>«</w:t>
      </w:r>
      <w:r>
        <w:rPr>
          <w:rFonts w:hint="cs"/>
          <w:rtl/>
        </w:rPr>
        <w:t>ضرر زده شدن</w:t>
      </w:r>
      <w:r w:rsidR="004D437D">
        <w:rPr>
          <w:rFonts w:hint="cs"/>
          <w:rtl/>
        </w:rPr>
        <w:t>»</w:t>
      </w:r>
      <w:r>
        <w:rPr>
          <w:rFonts w:hint="cs"/>
          <w:rtl/>
        </w:rPr>
        <w:t xml:space="preserve"> بوده و مجهول همان ضرر زدن است.</w:t>
      </w:r>
    </w:p>
    <w:p w14:paraId="63F9F52F" w14:textId="5A7328F8" w:rsidR="006915E1" w:rsidRDefault="006915E1" w:rsidP="002A707E">
      <w:pPr>
        <w:jc w:val="both"/>
        <w:rPr>
          <w:rtl/>
        </w:rPr>
      </w:pPr>
      <w:r w:rsidRPr="006915E1">
        <w:rPr>
          <w:rFonts w:hint="cs"/>
          <w:b/>
          <w:bCs/>
          <w:rtl/>
        </w:rPr>
        <w:t>مصدر مطاوعه</w:t>
      </w:r>
      <w:r>
        <w:rPr>
          <w:rFonts w:hint="cs"/>
          <w:rtl/>
        </w:rPr>
        <w:t>: گاهی ضرر زدن به باب تفعّل رفته و مطاوعه می</w:t>
      </w:r>
      <w:r>
        <w:rPr>
          <w:rtl/>
        </w:rPr>
        <w:softHyphen/>
      </w:r>
      <w:r>
        <w:rPr>
          <w:rFonts w:hint="cs"/>
          <w:rtl/>
        </w:rPr>
        <w:t>شود.</w:t>
      </w:r>
    </w:p>
    <w:p w14:paraId="0EF79CF2" w14:textId="20AEBDA5" w:rsidR="006915E1" w:rsidRDefault="006915E1" w:rsidP="002A707E">
      <w:pPr>
        <w:jc w:val="both"/>
        <w:rPr>
          <w:rtl/>
        </w:rPr>
      </w:pPr>
      <w:r>
        <w:rPr>
          <w:rFonts w:hint="cs"/>
          <w:rtl/>
        </w:rPr>
        <w:t>باید دانست بین این سه مفهوم فرق است. مصدر ثلاثی مجرد معلوم، مصدر ثلاثی مجرد مجهول، و مصدر باب تفعّل که مطاوعۀ همان مفهوم است. بین این سه مفهوم که هر سه هم مصدر هستند، تفاوت معنایی وجود دارد چون گاهی ضرر زدن یک شخص به دیگری را در نظر می</w:t>
      </w:r>
      <w:r>
        <w:rPr>
          <w:rtl/>
        </w:rPr>
        <w:softHyphen/>
      </w:r>
      <w:r>
        <w:rPr>
          <w:rFonts w:hint="cs"/>
          <w:rtl/>
        </w:rPr>
        <w:t>گیریم و از این حالتی که شخصی به دیگری ضرر می</w:t>
      </w:r>
      <w:r>
        <w:rPr>
          <w:rtl/>
        </w:rPr>
        <w:softHyphen/>
      </w:r>
      <w:r>
        <w:rPr>
          <w:rFonts w:hint="cs"/>
          <w:rtl/>
        </w:rPr>
        <w:t>زند با تعبیر ضرر زدن یاد می</w:t>
      </w:r>
      <w:r>
        <w:rPr>
          <w:rtl/>
        </w:rPr>
        <w:softHyphen/>
      </w:r>
      <w:r>
        <w:rPr>
          <w:rFonts w:hint="cs"/>
          <w:rtl/>
        </w:rPr>
        <w:t>کنیم. در همین جایی که یک ضارّ و یک مضرور داریم به این جنبه توجه می</w:t>
      </w:r>
      <w:r>
        <w:rPr>
          <w:rtl/>
        </w:rPr>
        <w:softHyphen/>
      </w:r>
      <w:r>
        <w:rPr>
          <w:rFonts w:hint="cs"/>
          <w:rtl/>
        </w:rPr>
        <w:t>کنیم که یک حالتی به مضرور وارد شده با عنایت به این که ضارّ هم دارد یعنی ضارّ داشتنش را هم در معنا لحاظ می</w:t>
      </w:r>
      <w:r>
        <w:rPr>
          <w:rtl/>
        </w:rPr>
        <w:softHyphen/>
      </w:r>
      <w:r>
        <w:rPr>
          <w:rFonts w:hint="cs"/>
          <w:rtl/>
        </w:rPr>
        <w:t>کنیم که مصدرش می</w:t>
      </w:r>
      <w:r>
        <w:rPr>
          <w:rtl/>
        </w:rPr>
        <w:softHyphen/>
      </w:r>
      <w:r>
        <w:rPr>
          <w:rFonts w:hint="cs"/>
          <w:rtl/>
        </w:rPr>
        <w:t>شود ضرر زده شدن. در صورت سوم آن حالتی که بر مفعول وارد شده را در نظر می</w:t>
      </w:r>
      <w:r>
        <w:rPr>
          <w:rtl/>
        </w:rPr>
        <w:softHyphen/>
      </w:r>
      <w:r>
        <w:rPr>
          <w:rFonts w:hint="cs"/>
          <w:rtl/>
        </w:rPr>
        <w:t xml:space="preserve">گیرم با قطع نظر از این که فاعل دارد؛ به عبارت دیگر در صورت سوم حالتی که در این شیء وجود دارد را </w:t>
      </w:r>
      <w:r>
        <w:rPr>
          <w:rFonts w:cs="Cambria" w:hint="cs"/>
          <w:rtl/>
        </w:rPr>
        <w:t>_</w:t>
      </w:r>
      <w:r>
        <w:rPr>
          <w:rFonts w:hint="cs"/>
          <w:rtl/>
        </w:rPr>
        <w:t>خواه این حالت توسط ضارّ ایجاد شده باشد یا خودبخود ایجاد شده باشد</w:t>
      </w:r>
      <w:r>
        <w:rPr>
          <w:rFonts w:cs="Cambria" w:hint="cs"/>
          <w:rtl/>
        </w:rPr>
        <w:t>_</w:t>
      </w:r>
      <w:r>
        <w:rPr>
          <w:rFonts w:hint="cs"/>
          <w:rtl/>
        </w:rPr>
        <w:t xml:space="preserve"> در نظر گرفته و مصدر تضرّر را در موردش بکار می</w:t>
      </w:r>
      <w:r>
        <w:rPr>
          <w:rtl/>
        </w:rPr>
        <w:softHyphen/>
      </w:r>
      <w:r>
        <w:rPr>
          <w:rFonts w:hint="cs"/>
          <w:rtl/>
        </w:rPr>
        <w:t>بریم که مصدر مطاوعه است</w:t>
      </w:r>
      <w:r w:rsidR="006C2654">
        <w:rPr>
          <w:rFonts w:hint="cs"/>
          <w:rtl/>
        </w:rPr>
        <w:t xml:space="preserve"> و معنایش ضرردیدن شخص است بدون لحاظ این که ضارّ دارد یا ندارد</w:t>
      </w:r>
      <w:r>
        <w:rPr>
          <w:rFonts w:hint="cs"/>
          <w:rtl/>
        </w:rPr>
        <w:t xml:space="preserve">. پس مصدر مطاوعه آن حالتی از مفعول است که </w:t>
      </w:r>
      <w:r w:rsidR="006C2654">
        <w:rPr>
          <w:rFonts w:hint="cs"/>
          <w:rtl/>
        </w:rPr>
        <w:t>با غمض عین از مفعول بودنش بر آن حمل می</w:t>
      </w:r>
      <w:r w:rsidR="006C2654">
        <w:rPr>
          <w:rtl/>
        </w:rPr>
        <w:softHyphen/>
      </w:r>
      <w:r w:rsidR="006C2654">
        <w:rPr>
          <w:rFonts w:hint="cs"/>
          <w:rtl/>
        </w:rPr>
        <w:t>شود لذا در باب مطاوعه، مفعول دیگر مفعول یا نائب فاعل نیست بلکه حقیقتاً فاعل است چون دیگر ارتباطش با فاعل قبلی قطع شده است؛ بر خلاف مصدر مجهول که ارتباطش با فاعل هنوز قطع نشده است.</w:t>
      </w:r>
    </w:p>
    <w:p w14:paraId="5650903A" w14:textId="1F3C2E92" w:rsidR="006C2654" w:rsidRDefault="006C2654" w:rsidP="002A707E">
      <w:pPr>
        <w:jc w:val="both"/>
        <w:rPr>
          <w:rtl/>
        </w:rPr>
      </w:pPr>
      <w:r>
        <w:rPr>
          <w:rFonts w:hint="cs"/>
          <w:rtl/>
        </w:rPr>
        <w:t>مطلب فوق را در قالب مثال هادی نیز می</w:t>
      </w:r>
      <w:r>
        <w:rPr>
          <w:rtl/>
        </w:rPr>
        <w:softHyphen/>
      </w:r>
      <w:r>
        <w:rPr>
          <w:rFonts w:hint="cs"/>
          <w:rtl/>
        </w:rPr>
        <w:t>توان دنبال کرد. واژۀ «هَدی» وقتی مجهول می</w:t>
      </w:r>
      <w:r>
        <w:rPr>
          <w:rtl/>
        </w:rPr>
        <w:softHyphen/>
      </w:r>
      <w:r>
        <w:rPr>
          <w:rFonts w:hint="cs"/>
          <w:rtl/>
        </w:rPr>
        <w:t>شود، «هُدِیَ» خوانده می</w:t>
      </w:r>
      <w:r>
        <w:rPr>
          <w:rtl/>
        </w:rPr>
        <w:softHyphen/>
      </w:r>
      <w:r>
        <w:rPr>
          <w:rFonts w:hint="cs"/>
          <w:rtl/>
        </w:rPr>
        <w:t xml:space="preserve">شود که </w:t>
      </w:r>
      <w:r w:rsidR="00EC388B">
        <w:rPr>
          <w:rFonts w:hint="cs"/>
          <w:rtl/>
        </w:rPr>
        <w:t xml:space="preserve">به </w:t>
      </w:r>
      <w:r>
        <w:rPr>
          <w:rFonts w:hint="cs"/>
          <w:rtl/>
        </w:rPr>
        <w:t>معنای «هدایت کرده شد»، «راه را به او نشان دادند» می</w:t>
      </w:r>
      <w:r>
        <w:rPr>
          <w:rtl/>
        </w:rPr>
        <w:softHyphen/>
      </w:r>
      <w:r>
        <w:rPr>
          <w:rFonts w:hint="cs"/>
          <w:rtl/>
        </w:rPr>
        <w:t>باشد. در اینجا یک «هادی» داریم که راه را به «مهدّی» نشان می</w:t>
      </w:r>
      <w:r>
        <w:rPr>
          <w:rtl/>
        </w:rPr>
        <w:softHyphen/>
      </w:r>
      <w:r>
        <w:rPr>
          <w:rFonts w:hint="cs"/>
          <w:rtl/>
        </w:rPr>
        <w:t>دهد و یک «مهتدی» داریم که به معنای «راه</w:t>
      </w:r>
      <w:r>
        <w:rPr>
          <w:rtl/>
        </w:rPr>
        <w:softHyphen/>
      </w:r>
      <w:r>
        <w:rPr>
          <w:rFonts w:hint="cs"/>
          <w:rtl/>
        </w:rPr>
        <w:t>یافته» است خواه هادی داشته باشد و خواه نداشته باشد. به عبارت دیگر «مهتدی» دو قسم دارد: «مهتدی مهدی» و «مهتدی غیرمهدی»؛ «مهتدی مهدی» آن راه</w:t>
      </w:r>
      <w:r>
        <w:rPr>
          <w:rtl/>
        </w:rPr>
        <w:softHyphen/>
      </w:r>
      <w:r>
        <w:rPr>
          <w:rFonts w:hint="cs"/>
          <w:rtl/>
        </w:rPr>
        <w:t>یافته</w:t>
      </w:r>
      <w:r>
        <w:rPr>
          <w:rtl/>
        </w:rPr>
        <w:softHyphen/>
      </w:r>
      <w:r>
        <w:rPr>
          <w:rFonts w:hint="cs"/>
          <w:rtl/>
        </w:rPr>
        <w:t>ای است که هادی دارد و «مهتدی غیرمهدی» آن راه</w:t>
      </w:r>
      <w:r>
        <w:rPr>
          <w:rtl/>
        </w:rPr>
        <w:softHyphen/>
      </w:r>
      <w:r>
        <w:rPr>
          <w:rFonts w:hint="cs"/>
          <w:rtl/>
        </w:rPr>
        <w:t>یافته</w:t>
      </w:r>
      <w:r>
        <w:rPr>
          <w:rtl/>
        </w:rPr>
        <w:softHyphen/>
      </w:r>
      <w:r>
        <w:rPr>
          <w:rFonts w:hint="cs"/>
          <w:rtl/>
        </w:rPr>
        <w:t xml:space="preserve">ای است که هادی ندارد یعنی کسی راه را به او نشان نداده است. در آیۀ شریفۀ </w:t>
      </w:r>
      <w:r>
        <w:rPr>
          <w:rFonts w:cs="Times New Roman"/>
          <w:rtl/>
        </w:rPr>
        <w:t>﴿</w:t>
      </w:r>
      <w:r w:rsidRPr="006C2654">
        <w:rPr>
          <w:color w:val="008000"/>
          <w:rtl/>
        </w:rPr>
        <w:t>أَ فَمَنْ يَهْدي إِلَى الْحَقِّ أَحَقُّ أَنْ يُتَّبَعَ أَمَّنْ لا يَهِدِّي إِلاَّ أَنْ يُهْدى</w:t>
      </w:r>
      <w:r w:rsidRPr="006C2654">
        <w:rPr>
          <w:rFonts w:cs="Times New Roman"/>
          <w:color w:val="008000"/>
          <w:rtl/>
        </w:rPr>
        <w:t>﴾</w:t>
      </w:r>
      <w:r w:rsidRPr="006C2654">
        <w:rPr>
          <w:color w:val="008000"/>
          <w:rtl/>
        </w:rPr>
        <w:t>‏</w:t>
      </w:r>
      <w:r>
        <w:rPr>
          <w:rStyle w:val="FootnoteReference"/>
          <w:color w:val="008000"/>
          <w:rtl/>
        </w:rPr>
        <w:footnoteReference w:id="8"/>
      </w:r>
      <w:r w:rsidRPr="006C2654">
        <w:rPr>
          <w:rtl/>
        </w:rPr>
        <w:t xml:space="preserve"> ‏</w:t>
      </w:r>
      <w:r>
        <w:rPr>
          <w:rFonts w:hint="cs"/>
          <w:rtl/>
        </w:rPr>
        <w:t xml:space="preserve"> «لا یَهِدّی» همان «لا یهتدی» است؛ در این </w:t>
      </w:r>
      <w:r w:rsidR="00EC388B">
        <w:rPr>
          <w:rFonts w:hint="cs"/>
          <w:rtl/>
        </w:rPr>
        <w:t>آ</w:t>
      </w:r>
      <w:r>
        <w:rPr>
          <w:rFonts w:hint="cs"/>
          <w:rtl/>
        </w:rPr>
        <w:t xml:space="preserve">یه بیان شده آیا کسی که هدایتگر است احق به </w:t>
      </w:r>
      <w:r>
        <w:rPr>
          <w:rFonts w:hint="cs"/>
          <w:rtl/>
        </w:rPr>
        <w:lastRenderedPageBreak/>
        <w:t>پیروی است یا کسی که «لا یهتدی</w:t>
      </w:r>
      <w:r w:rsidR="00FD449E">
        <w:rPr>
          <w:rFonts w:hint="cs"/>
          <w:rtl/>
        </w:rPr>
        <w:t xml:space="preserve"> الا ان یُهدی»؛ در نتیجه «مهتدی» دو قسم است: «مهتدی یُهدی» و «مهتدی لا یُهدی»؛ به عبارت دیگر «مهتدی» مقسم است برای «مهتدی مهدیّ» و «مهتدی غیر مهدیّ».</w:t>
      </w:r>
    </w:p>
    <w:p w14:paraId="55FE5203" w14:textId="1D4619F8" w:rsidR="00FD449E" w:rsidRDefault="00FD449E" w:rsidP="002A707E">
      <w:pPr>
        <w:jc w:val="both"/>
        <w:rPr>
          <w:rtl/>
        </w:rPr>
      </w:pPr>
      <w:r>
        <w:rPr>
          <w:rFonts w:hint="cs"/>
          <w:rtl/>
        </w:rPr>
        <w:t>خلاصه این که این سه مفهوم باید از هم تفکیک شوند</w:t>
      </w:r>
      <w:r w:rsidR="00EC388B">
        <w:rPr>
          <w:rFonts w:hint="cs"/>
          <w:rtl/>
        </w:rPr>
        <w:t xml:space="preserve">. </w:t>
      </w:r>
      <w:r>
        <w:rPr>
          <w:rFonts w:hint="cs"/>
          <w:rtl/>
        </w:rPr>
        <w:t>در مورد واژۀ «وضع» نیز سه مفهوم وجود دارد که عبارتند از:</w:t>
      </w:r>
    </w:p>
    <w:p w14:paraId="1594807B" w14:textId="1FB78952" w:rsidR="00FD449E" w:rsidRDefault="00FD449E" w:rsidP="002A707E">
      <w:pPr>
        <w:pStyle w:val="ListParagraph"/>
        <w:numPr>
          <w:ilvl w:val="0"/>
          <w:numId w:val="17"/>
        </w:numPr>
        <w:jc w:val="both"/>
      </w:pPr>
      <w:r>
        <w:rPr>
          <w:rFonts w:hint="cs"/>
          <w:rtl/>
        </w:rPr>
        <w:t>«قرار دادن لفظ برای معنا» که مصدر معلوم است و با تعبیر «وَضَعتُ اللفظ للمعن</w:t>
      </w:r>
      <w:r w:rsidR="00EC388B">
        <w:rPr>
          <w:rFonts w:hint="cs"/>
          <w:rtl/>
        </w:rPr>
        <w:t>ی</w:t>
      </w:r>
      <w:r>
        <w:rPr>
          <w:rFonts w:hint="cs"/>
          <w:rtl/>
        </w:rPr>
        <w:t>» از آن یاد می</w:t>
      </w:r>
      <w:r>
        <w:rPr>
          <w:rtl/>
        </w:rPr>
        <w:softHyphen/>
      </w:r>
      <w:r>
        <w:rPr>
          <w:rFonts w:hint="cs"/>
          <w:rtl/>
        </w:rPr>
        <w:t>شود.</w:t>
      </w:r>
    </w:p>
    <w:p w14:paraId="54951263" w14:textId="49E99A7E" w:rsidR="00FD449E" w:rsidRDefault="00FD449E" w:rsidP="002A707E">
      <w:pPr>
        <w:pStyle w:val="ListParagraph"/>
        <w:numPr>
          <w:ilvl w:val="0"/>
          <w:numId w:val="17"/>
        </w:numPr>
        <w:jc w:val="both"/>
      </w:pPr>
      <w:r>
        <w:rPr>
          <w:rFonts w:hint="cs"/>
          <w:rtl/>
        </w:rPr>
        <w:t>«قرار داد</w:t>
      </w:r>
      <w:r w:rsidR="00EC388B">
        <w:rPr>
          <w:rFonts w:hint="cs"/>
          <w:rtl/>
        </w:rPr>
        <w:t>ه</w:t>
      </w:r>
      <w:r>
        <w:rPr>
          <w:rFonts w:hint="cs"/>
          <w:rtl/>
        </w:rPr>
        <w:t xml:space="preserve"> شدن لفظ برای معنا» که مصدر مجهول است و با تعبیر «وُضِعً اللفظ للمعن</w:t>
      </w:r>
      <w:r w:rsidR="00EC388B">
        <w:rPr>
          <w:rFonts w:hint="cs"/>
          <w:rtl/>
        </w:rPr>
        <w:t>ی</w:t>
      </w:r>
      <w:r>
        <w:rPr>
          <w:rFonts w:hint="cs"/>
          <w:rtl/>
        </w:rPr>
        <w:t>» از آن یاد می</w:t>
      </w:r>
      <w:r>
        <w:rPr>
          <w:rtl/>
        </w:rPr>
        <w:softHyphen/>
      </w:r>
      <w:r>
        <w:rPr>
          <w:rFonts w:hint="cs"/>
          <w:rtl/>
        </w:rPr>
        <w:t>شود.</w:t>
      </w:r>
    </w:p>
    <w:p w14:paraId="78CE80AA" w14:textId="0FA33C0E" w:rsidR="00FD449E" w:rsidRDefault="00FD449E" w:rsidP="002A707E">
      <w:pPr>
        <w:pStyle w:val="ListParagraph"/>
        <w:numPr>
          <w:ilvl w:val="0"/>
          <w:numId w:val="17"/>
        </w:numPr>
        <w:jc w:val="both"/>
      </w:pPr>
      <w:r>
        <w:rPr>
          <w:rFonts w:hint="cs"/>
          <w:rtl/>
        </w:rPr>
        <w:t>در صورت سوم گفته می</w:t>
      </w:r>
      <w:r>
        <w:rPr>
          <w:rtl/>
        </w:rPr>
        <w:softHyphen/>
      </w:r>
      <w:r>
        <w:rPr>
          <w:rFonts w:hint="cs"/>
          <w:rtl/>
        </w:rPr>
        <w:t>شود «إتّضع للفظ للمعن</w:t>
      </w:r>
      <w:r w:rsidR="00EC388B">
        <w:rPr>
          <w:rFonts w:hint="cs"/>
          <w:rtl/>
        </w:rPr>
        <w:t>ی</w:t>
      </w:r>
      <w:r>
        <w:rPr>
          <w:rFonts w:hint="cs"/>
          <w:rtl/>
        </w:rPr>
        <w:t>» که مفهوم مطاوعه را در بر دارد.</w:t>
      </w:r>
    </w:p>
    <w:p w14:paraId="1F24E43A" w14:textId="6A46AFAB" w:rsidR="00FD449E" w:rsidRDefault="00FD449E" w:rsidP="002A707E">
      <w:pPr>
        <w:jc w:val="both"/>
        <w:rPr>
          <w:rtl/>
        </w:rPr>
      </w:pPr>
      <w:r>
        <w:rPr>
          <w:rFonts w:hint="cs"/>
          <w:rtl/>
        </w:rPr>
        <w:t>در معنای معلوم، وضع دارای فاعلی است که لفظ را برای معنا قرار می</w:t>
      </w:r>
      <w:r>
        <w:rPr>
          <w:rtl/>
        </w:rPr>
        <w:softHyphen/>
      </w:r>
      <w:r>
        <w:rPr>
          <w:rFonts w:hint="cs"/>
          <w:rtl/>
        </w:rPr>
        <w:t>دهد؛ در معنای مجهول، نیز فاعل وضع را ملاحظه می</w:t>
      </w:r>
      <w:r>
        <w:rPr>
          <w:rtl/>
        </w:rPr>
        <w:softHyphen/>
      </w:r>
      <w:r>
        <w:rPr>
          <w:rFonts w:hint="cs"/>
          <w:rtl/>
        </w:rPr>
        <w:t>کنیم اما به صورت نامتعیّن و مجهول ولی در هر حال واضع</w:t>
      </w:r>
      <w:r w:rsidR="00EC388B">
        <w:rPr>
          <w:rtl/>
        </w:rPr>
        <w:softHyphen/>
      </w:r>
      <w:r>
        <w:rPr>
          <w:rFonts w:hint="cs"/>
          <w:rtl/>
        </w:rPr>
        <w:t>دار بودنش را ملاحظه می</w:t>
      </w:r>
      <w:r>
        <w:rPr>
          <w:rtl/>
        </w:rPr>
        <w:softHyphen/>
      </w:r>
      <w:r>
        <w:rPr>
          <w:rFonts w:hint="cs"/>
          <w:rtl/>
        </w:rPr>
        <w:t xml:space="preserve">کنیم لذا در موارد وضع تعیّنی که </w:t>
      </w:r>
      <w:r w:rsidR="009E0DE1">
        <w:rPr>
          <w:rFonts w:hint="cs"/>
          <w:rtl/>
        </w:rPr>
        <w:t>واضع</w:t>
      </w:r>
      <w:r>
        <w:rPr>
          <w:rFonts w:hint="cs"/>
          <w:rtl/>
        </w:rPr>
        <w:t xml:space="preserve"> ندارد، نمی</w:t>
      </w:r>
      <w:r>
        <w:rPr>
          <w:rtl/>
        </w:rPr>
        <w:softHyphen/>
      </w:r>
      <w:r>
        <w:rPr>
          <w:rFonts w:hint="cs"/>
          <w:rtl/>
        </w:rPr>
        <w:t>توان از فعل مجهول استفاده کرد و گفت «وُضِعَ اللفظ للمعن</w:t>
      </w:r>
      <w:r w:rsidR="00EC388B">
        <w:rPr>
          <w:rFonts w:hint="cs"/>
          <w:rtl/>
        </w:rPr>
        <w:t>ی</w:t>
      </w:r>
      <w:r>
        <w:rPr>
          <w:rFonts w:hint="cs"/>
          <w:rtl/>
        </w:rPr>
        <w:t xml:space="preserve">» چون </w:t>
      </w:r>
      <w:r w:rsidR="009E0DE1">
        <w:rPr>
          <w:rFonts w:hint="cs"/>
          <w:rtl/>
        </w:rPr>
        <w:t xml:space="preserve">علقۀ بین لفظ و معنا </w:t>
      </w:r>
      <w:r>
        <w:rPr>
          <w:rFonts w:hint="cs"/>
          <w:rtl/>
        </w:rPr>
        <w:t>خودبخود ایجاد شده است</w:t>
      </w:r>
      <w:r w:rsidR="00EC388B">
        <w:rPr>
          <w:rFonts w:hint="cs"/>
          <w:rtl/>
        </w:rPr>
        <w:t xml:space="preserve"> (نه اینکه ایجاد کرده شده باشد)</w:t>
      </w:r>
      <w:r>
        <w:rPr>
          <w:rFonts w:hint="cs"/>
          <w:rtl/>
        </w:rPr>
        <w:t xml:space="preserve">. در جایی که آن </w:t>
      </w:r>
      <w:r w:rsidR="009E0DE1">
        <w:rPr>
          <w:rFonts w:hint="cs"/>
          <w:rtl/>
        </w:rPr>
        <w:t>علقۀ</w:t>
      </w:r>
      <w:r>
        <w:rPr>
          <w:rFonts w:hint="cs"/>
          <w:rtl/>
        </w:rPr>
        <w:t xml:space="preserve"> ایجاد شده به سبب وضع، خودبخود و بدون</w:t>
      </w:r>
      <w:r w:rsidR="009E0DE1">
        <w:rPr>
          <w:rFonts w:hint="cs"/>
          <w:rtl/>
        </w:rPr>
        <w:t xml:space="preserve"> دخالت</w:t>
      </w:r>
      <w:r>
        <w:rPr>
          <w:rFonts w:hint="cs"/>
          <w:rtl/>
        </w:rPr>
        <w:t xml:space="preserve"> </w:t>
      </w:r>
      <w:r w:rsidR="009E0DE1">
        <w:rPr>
          <w:rFonts w:hint="cs"/>
          <w:rtl/>
        </w:rPr>
        <w:t>واضع،</w:t>
      </w:r>
      <w:r>
        <w:rPr>
          <w:rFonts w:hint="cs"/>
          <w:rtl/>
        </w:rPr>
        <w:t xml:space="preserve"> </w:t>
      </w:r>
      <w:r w:rsidR="009E0DE1">
        <w:rPr>
          <w:rFonts w:hint="cs"/>
          <w:rtl/>
        </w:rPr>
        <w:t>در لفظ موضوع ایجاد شده</w:t>
      </w:r>
      <w:r>
        <w:rPr>
          <w:rFonts w:hint="cs"/>
          <w:rtl/>
        </w:rPr>
        <w:t xml:space="preserve"> باشد و</w:t>
      </w:r>
      <w:r w:rsidR="009E0DE1">
        <w:rPr>
          <w:rFonts w:hint="cs"/>
          <w:rtl/>
        </w:rPr>
        <w:t xml:space="preserve"> ما</w:t>
      </w:r>
      <w:r>
        <w:rPr>
          <w:rFonts w:hint="cs"/>
          <w:rtl/>
        </w:rPr>
        <w:t xml:space="preserve"> صرفاً به نفس علقه توجه داشته باشیم </w:t>
      </w:r>
      <w:r w:rsidR="009E0DE1">
        <w:rPr>
          <w:rFonts w:cs="Cambria" w:hint="cs"/>
          <w:rtl/>
        </w:rPr>
        <w:t>_</w:t>
      </w:r>
      <w:r>
        <w:rPr>
          <w:rFonts w:hint="cs"/>
          <w:rtl/>
        </w:rPr>
        <w:t xml:space="preserve">خواه </w:t>
      </w:r>
      <w:r w:rsidR="00EC388B">
        <w:rPr>
          <w:rFonts w:hint="cs"/>
          <w:rtl/>
        </w:rPr>
        <w:t>واضع</w:t>
      </w:r>
      <w:r>
        <w:rPr>
          <w:rFonts w:hint="cs"/>
          <w:rtl/>
        </w:rPr>
        <w:t xml:space="preserve"> داشته باشد و خواه نداشته باشد</w:t>
      </w:r>
      <w:r w:rsidR="009E0DE1">
        <w:rPr>
          <w:rFonts w:cs="Cambria" w:hint="cs"/>
          <w:rtl/>
        </w:rPr>
        <w:t>_</w:t>
      </w:r>
      <w:r>
        <w:rPr>
          <w:rFonts w:hint="cs"/>
          <w:rtl/>
        </w:rPr>
        <w:t xml:space="preserve"> </w:t>
      </w:r>
      <w:r w:rsidR="009E0DE1">
        <w:rPr>
          <w:rFonts w:hint="cs"/>
          <w:rtl/>
        </w:rPr>
        <w:t>دربردارنده معنای مطاوعه خواهد بود که محقق خراسانی نیز وضع را به همین معنا دانسته است. یعنی طبق فرمایش ایشان ارتباط وضع با واضع قطع شده است لذا لازم نیست واضعی در کار باشد.</w:t>
      </w:r>
    </w:p>
    <w:p w14:paraId="005FA63D" w14:textId="657FA9BA" w:rsidR="00B030B0" w:rsidRDefault="009E0DE1" w:rsidP="002A707E">
      <w:pPr>
        <w:jc w:val="both"/>
        <w:rPr>
          <w:rtl/>
        </w:rPr>
      </w:pPr>
      <w:r>
        <w:rPr>
          <w:rFonts w:hint="cs"/>
          <w:rtl/>
        </w:rPr>
        <w:t>لازم به ذکر است که مقصود ما از اینکه وضع بدون واضع است، این نیست که علت فاعلی ندارد چون بهر حال هر معلول</w:t>
      </w:r>
      <w:r w:rsidR="00EC388B">
        <w:rPr>
          <w:rFonts w:hint="cs"/>
          <w:rtl/>
        </w:rPr>
        <w:t>ی</w:t>
      </w:r>
      <w:r>
        <w:rPr>
          <w:rFonts w:hint="cs"/>
          <w:rtl/>
        </w:rPr>
        <w:t>، دارای علت است پس مقصود از واضع نداشتن، به قرینۀ تبادر یا انسباق و مانند آن، واضع انسانی مشخص که دارای اراده و شعور است، می</w:t>
      </w:r>
      <w:r>
        <w:rPr>
          <w:rtl/>
        </w:rPr>
        <w:softHyphen/>
      </w:r>
      <w:r>
        <w:rPr>
          <w:rFonts w:hint="cs"/>
          <w:rtl/>
        </w:rPr>
        <w:t>باشد بنابراین هر چند کثرت استعمال</w:t>
      </w:r>
      <w:r w:rsidR="00EC388B">
        <w:rPr>
          <w:rFonts w:hint="cs"/>
          <w:rtl/>
        </w:rPr>
        <w:t>،</w:t>
      </w:r>
      <w:r>
        <w:rPr>
          <w:rFonts w:hint="cs"/>
          <w:rtl/>
        </w:rPr>
        <w:t xml:space="preserve"> علت و سبب وضع محسوب می</w:t>
      </w:r>
      <w:r>
        <w:rPr>
          <w:rtl/>
        </w:rPr>
        <w:softHyphen/>
      </w:r>
      <w:r>
        <w:rPr>
          <w:rFonts w:hint="cs"/>
          <w:rtl/>
        </w:rPr>
        <w:t>شود ولی نمی</w:t>
      </w:r>
      <w:r>
        <w:rPr>
          <w:rtl/>
        </w:rPr>
        <w:softHyphen/>
      </w:r>
      <w:r>
        <w:rPr>
          <w:rFonts w:hint="cs"/>
          <w:rtl/>
        </w:rPr>
        <w:t>توان در مورد کثرت استعمال واژۀ واضع را بکار برد چون مراد از واضع، شخص ذی</w:t>
      </w:r>
      <w:r>
        <w:rPr>
          <w:rtl/>
        </w:rPr>
        <w:softHyphen/>
      </w:r>
      <w:r>
        <w:rPr>
          <w:rFonts w:hint="cs"/>
          <w:rtl/>
        </w:rPr>
        <w:t>شعوری است که با قصد و تعمّد به عملیات وضع اقدام می</w:t>
      </w:r>
      <w:r>
        <w:rPr>
          <w:rtl/>
        </w:rPr>
        <w:softHyphen/>
      </w:r>
      <w:r>
        <w:rPr>
          <w:rFonts w:hint="cs"/>
          <w:rtl/>
        </w:rPr>
        <w:t>کند.</w:t>
      </w:r>
    </w:p>
    <w:p w14:paraId="56C02FA4" w14:textId="39570391" w:rsidR="009E0DE1" w:rsidRDefault="00EF0E8F" w:rsidP="002A707E">
      <w:pPr>
        <w:jc w:val="both"/>
        <w:rPr>
          <w:rtl/>
        </w:rPr>
      </w:pPr>
      <w:r>
        <w:rPr>
          <w:rFonts w:hint="cs"/>
          <w:rtl/>
        </w:rPr>
        <w:t>بر این اساس می</w:t>
      </w:r>
      <w:r>
        <w:rPr>
          <w:rtl/>
        </w:rPr>
        <w:softHyphen/>
      </w:r>
      <w:r>
        <w:rPr>
          <w:rFonts w:hint="cs"/>
          <w:rtl/>
        </w:rPr>
        <w:t>توان گفت</w:t>
      </w:r>
      <w:r w:rsidR="009E0DE1">
        <w:rPr>
          <w:rFonts w:hint="cs"/>
          <w:rtl/>
        </w:rPr>
        <w:t xml:space="preserve"> معنایی که محقق خراسانی برای «وضع» بیان نموده، نه اسم مصدر است و نه مصدر مجهول بلکه مصدر مطاوعه است و ایشان با توجه به این که وضع را به دو گونۀ تعیینی و تعیّنی تقسیم کرده</w:t>
      </w:r>
      <w:r w:rsidR="009E0DE1">
        <w:rPr>
          <w:rtl/>
        </w:rPr>
        <w:softHyphen/>
      </w:r>
      <w:r w:rsidR="009E0DE1">
        <w:rPr>
          <w:rFonts w:hint="cs"/>
          <w:rtl/>
        </w:rPr>
        <w:t>اند، ادعا نمودند وضع باید به معنای مذکور بوده باشد تا صلاحیت تقسیم را دارا باشد.</w:t>
      </w:r>
    </w:p>
    <w:p w14:paraId="23C63AD2" w14:textId="60CCB6F3" w:rsidR="009E0DE1" w:rsidRDefault="009E0DE1" w:rsidP="002A707E">
      <w:pPr>
        <w:jc w:val="both"/>
        <w:rPr>
          <w:rtl/>
        </w:rPr>
      </w:pPr>
      <w:r>
        <w:rPr>
          <w:rFonts w:hint="cs"/>
          <w:rtl/>
        </w:rPr>
        <w:t>بنابراین وضع در معنای معلومی آن به معنای تخصیص یا اختصاص دادن یا خاص کردن است؛ اما در معنای مجهولی</w:t>
      </w:r>
      <w:r w:rsidR="00EC388B">
        <w:rPr>
          <w:rtl/>
        </w:rPr>
        <w:softHyphen/>
      </w:r>
      <w:r w:rsidR="00EC388B">
        <w:rPr>
          <w:rFonts w:hint="cs"/>
          <w:rtl/>
        </w:rPr>
        <w:t>اش</w:t>
      </w:r>
      <w:r>
        <w:rPr>
          <w:rFonts w:hint="cs"/>
          <w:rtl/>
        </w:rPr>
        <w:t xml:space="preserve"> به معنای خاص کرده شدن است که باید مخصّص داشته باشد تا این عنوان بر آن صدق کند؛ اما وقتی به باب افتعال رفته و معنای مطاوعه به خود می</w:t>
      </w:r>
      <w:r>
        <w:rPr>
          <w:rtl/>
        </w:rPr>
        <w:softHyphen/>
      </w:r>
      <w:r>
        <w:rPr>
          <w:rFonts w:hint="cs"/>
          <w:rtl/>
        </w:rPr>
        <w:t>گیرد اختصاص دیگر لازم نیست مخصّص به معنای عامل ذی</w:t>
      </w:r>
      <w:r>
        <w:rPr>
          <w:rtl/>
        </w:rPr>
        <w:softHyphen/>
      </w:r>
      <w:r>
        <w:rPr>
          <w:rFonts w:hint="cs"/>
          <w:rtl/>
        </w:rPr>
        <w:t>شعور داشته باشد.</w:t>
      </w:r>
    </w:p>
    <w:p w14:paraId="02C14493" w14:textId="077EA571" w:rsidR="009E0DE1" w:rsidRDefault="009E0DE1" w:rsidP="00196F18">
      <w:pPr>
        <w:jc w:val="both"/>
        <w:rPr>
          <w:rtl/>
        </w:rPr>
      </w:pPr>
      <w:r>
        <w:rPr>
          <w:rFonts w:hint="cs"/>
          <w:rtl/>
        </w:rPr>
        <w:t xml:space="preserve">پس محقق خراسانی وضع را به معنای </w:t>
      </w:r>
      <w:r w:rsidR="00EF0E8F">
        <w:rPr>
          <w:rFonts w:hint="cs"/>
          <w:rtl/>
        </w:rPr>
        <w:t>اختصاص دانستند که مصدر مطاوعه است.</w:t>
      </w:r>
    </w:p>
    <w:p w14:paraId="3C6FF7AC" w14:textId="2B5BC933" w:rsidR="00EF0E8F" w:rsidRDefault="00EF0E8F" w:rsidP="002A707E">
      <w:pPr>
        <w:jc w:val="both"/>
        <w:rPr>
          <w:rtl/>
        </w:rPr>
      </w:pPr>
      <w:r>
        <w:rPr>
          <w:rFonts w:hint="cs"/>
          <w:rtl/>
        </w:rPr>
        <w:lastRenderedPageBreak/>
        <w:t xml:space="preserve">سؤال: آیا </w:t>
      </w:r>
      <w:r w:rsidR="00EC388B">
        <w:rPr>
          <w:rFonts w:hint="cs"/>
          <w:rtl/>
        </w:rPr>
        <w:t xml:space="preserve">ایشان </w:t>
      </w:r>
      <w:r>
        <w:rPr>
          <w:rFonts w:hint="cs"/>
          <w:rtl/>
        </w:rPr>
        <w:t xml:space="preserve">در عبارت تقریرات هم، در بیان معنای وضع، از واژۀ اختصاص استفاده کردند؟ چون ایشان در تقریرات فرمودند وضع به معنای «قرارداد» است که </w:t>
      </w:r>
      <w:r w:rsidR="00EC388B">
        <w:rPr>
          <w:rFonts w:hint="cs"/>
          <w:rtl/>
        </w:rPr>
        <w:t>ربطی به مطاوعه ندارد</w:t>
      </w:r>
      <w:r>
        <w:rPr>
          <w:rFonts w:hint="cs"/>
          <w:rtl/>
        </w:rPr>
        <w:t>.</w:t>
      </w:r>
    </w:p>
    <w:p w14:paraId="51716B76" w14:textId="29F8A779" w:rsidR="00EF0E8F" w:rsidRDefault="00EF0E8F" w:rsidP="002A707E">
      <w:pPr>
        <w:jc w:val="both"/>
        <w:rPr>
          <w:rtl/>
        </w:rPr>
      </w:pPr>
      <w:r>
        <w:rPr>
          <w:rFonts w:hint="cs"/>
          <w:rtl/>
        </w:rPr>
        <w:t>پاسخ: ایشان در عبارت تقریرات نیز تعبیر «علقة خاصة و ارتباط خاص» را بکار بردند.</w:t>
      </w:r>
    </w:p>
    <w:p w14:paraId="7F5DC205" w14:textId="0710F4DE" w:rsidR="00EF0E8F" w:rsidRDefault="00EF0E8F" w:rsidP="002A707E">
      <w:pPr>
        <w:jc w:val="both"/>
        <w:rPr>
          <w:rtl/>
        </w:rPr>
      </w:pPr>
      <w:r>
        <w:rPr>
          <w:rFonts w:hint="cs"/>
          <w:rtl/>
        </w:rPr>
        <w:t>سؤال: شاید اختصاص مصدر مطاوعه باشد اما به نظر می</w:t>
      </w:r>
      <w:r>
        <w:rPr>
          <w:rtl/>
        </w:rPr>
        <w:softHyphen/>
      </w:r>
      <w:r>
        <w:rPr>
          <w:rFonts w:hint="cs"/>
          <w:rtl/>
        </w:rPr>
        <w:t>رسد مفهوم علقة، اسم مصدر است.</w:t>
      </w:r>
    </w:p>
    <w:p w14:paraId="308E8E30" w14:textId="2404D908" w:rsidR="00EF0E8F" w:rsidRDefault="00EF0E8F" w:rsidP="002A707E">
      <w:pPr>
        <w:jc w:val="both"/>
        <w:rPr>
          <w:rtl/>
        </w:rPr>
      </w:pPr>
      <w:r>
        <w:rPr>
          <w:rFonts w:hint="cs"/>
          <w:rtl/>
        </w:rPr>
        <w:t>پاسخ: خیر؛ علقة نیز به همان معنای اختصاص یافتن لفظ به معنا است که ایشان در ادامه تعبیر «و ارتباط خاص» را به آن عطف نموده است. اینکه قرارداد دقیقاً به چه معناست بحث</w:t>
      </w:r>
      <w:r>
        <w:rPr>
          <w:rtl/>
        </w:rPr>
        <w:softHyphen/>
      </w:r>
      <w:r>
        <w:rPr>
          <w:rFonts w:hint="cs"/>
          <w:rtl/>
        </w:rPr>
        <w:t>هایی دارد که قصد نداریم به آن وارد شویم.</w:t>
      </w:r>
    </w:p>
    <w:p w14:paraId="6906DF92" w14:textId="4D59F94F" w:rsidR="00EF0E8F" w:rsidRDefault="00783DB9" w:rsidP="002A707E">
      <w:pPr>
        <w:jc w:val="both"/>
        <w:rPr>
          <w:rtl/>
        </w:rPr>
      </w:pPr>
      <w:r>
        <w:rPr>
          <w:rFonts w:hint="cs"/>
          <w:rtl/>
        </w:rPr>
        <w:t>تا اینجا عبارت کفایه توضیح داده شد.</w:t>
      </w:r>
    </w:p>
    <w:p w14:paraId="0FBE1E0C" w14:textId="3590E782" w:rsidR="00783DB9" w:rsidRDefault="005B0A3F" w:rsidP="002A707E">
      <w:pPr>
        <w:pStyle w:val="Heading2"/>
        <w:jc w:val="both"/>
        <w:rPr>
          <w:rtl/>
        </w:rPr>
      </w:pPr>
      <w:bookmarkStart w:id="10" w:name="_Toc146558323"/>
      <w:r>
        <w:rPr>
          <w:rFonts w:hint="cs"/>
          <w:rtl/>
        </w:rPr>
        <w:t xml:space="preserve">طرح نکاتی </w:t>
      </w:r>
      <w:bookmarkEnd w:id="10"/>
      <w:r w:rsidR="00EC388B">
        <w:rPr>
          <w:rFonts w:hint="cs"/>
          <w:rtl/>
        </w:rPr>
        <w:t>دخیل در تبیین حقیقت وضع</w:t>
      </w:r>
    </w:p>
    <w:p w14:paraId="7651ADD1" w14:textId="79DC280E" w:rsidR="00783DB9" w:rsidRDefault="00783DB9" w:rsidP="002A707E">
      <w:pPr>
        <w:jc w:val="both"/>
        <w:rPr>
          <w:rtl/>
        </w:rPr>
      </w:pPr>
      <w:r>
        <w:rPr>
          <w:rFonts w:hint="cs"/>
          <w:rtl/>
        </w:rPr>
        <w:t>لازم به ذکر است که هر معنایی از وضع ارائه کنیم، غرض از وضع آن است که لفظ موضوع دال بر معنا باشد که همین غرض ب</w:t>
      </w:r>
      <w:r w:rsidR="00EC388B">
        <w:rPr>
          <w:rFonts w:hint="cs"/>
          <w:rtl/>
        </w:rPr>
        <w:t>ا</w:t>
      </w:r>
      <w:r>
        <w:rPr>
          <w:rFonts w:hint="cs"/>
          <w:rtl/>
        </w:rPr>
        <w:t xml:space="preserve"> وضع تعیّنی حاصل می</w:t>
      </w:r>
      <w:r>
        <w:rPr>
          <w:rtl/>
        </w:rPr>
        <w:softHyphen/>
      </w:r>
      <w:r>
        <w:rPr>
          <w:rFonts w:hint="cs"/>
          <w:rtl/>
        </w:rPr>
        <w:t xml:space="preserve">شود. این دلالت بر معنا که غرض از وضع است به چه شکل است؟ به حسب برخی تعابیر محقق خراسانی در تقریرات، دلالت لفظ بر معنا به این شکل است که لفظ، قالب برای معنا قرار گیرد؛ به حسب برخی دیگر از تعبیرات ایشان، دلالت لفظ بر معنا به این شکل است که لفظ در معنا فانی شود؛ تعبیر دیگر هم این است که بگوئیم شکل دلالت لفظ بر معنا نه از سنخ قالبیت است و نه از سنخ فناء، بلکه از سنخ حکایت و دال بودن است. </w:t>
      </w:r>
    </w:p>
    <w:p w14:paraId="0A3AFABC" w14:textId="13B1AB68" w:rsidR="00581DBA" w:rsidRDefault="00783DB9" w:rsidP="00581DBA">
      <w:pPr>
        <w:jc w:val="both"/>
        <w:rPr>
          <w:rtl/>
        </w:rPr>
      </w:pPr>
      <w:r>
        <w:rPr>
          <w:rFonts w:hint="cs"/>
          <w:rtl/>
        </w:rPr>
        <w:t>به عبارت دیگر یکی از نکات مهم در فهم حقیقت وضع، آن است که غرض از وضع مشخص شود. غرض از وضع</w:t>
      </w:r>
      <w:r w:rsidR="00EC388B">
        <w:rPr>
          <w:rFonts w:hint="cs"/>
          <w:rtl/>
        </w:rPr>
        <w:t xml:space="preserve"> همان </w:t>
      </w:r>
      <w:r>
        <w:rPr>
          <w:rFonts w:hint="cs"/>
          <w:rtl/>
        </w:rPr>
        <w:t>استعمال است پس تا حقیقت استعمال روشن نشود، حقیقت وضع نیز روشن نمی</w:t>
      </w:r>
      <w:r>
        <w:rPr>
          <w:rtl/>
        </w:rPr>
        <w:softHyphen/>
      </w:r>
      <w:r>
        <w:rPr>
          <w:rFonts w:hint="cs"/>
          <w:rtl/>
        </w:rPr>
        <w:t>شود. وضع</w:t>
      </w:r>
      <w:r w:rsidR="00EC388B">
        <w:rPr>
          <w:rFonts w:hint="cs"/>
          <w:rtl/>
        </w:rPr>
        <w:t xml:space="preserve"> لفظ،</w:t>
      </w:r>
      <w:r>
        <w:rPr>
          <w:rFonts w:hint="cs"/>
          <w:rtl/>
        </w:rPr>
        <w:t xml:space="preserve"> </w:t>
      </w:r>
      <w:r w:rsidR="00EC388B">
        <w:rPr>
          <w:rFonts w:hint="cs"/>
          <w:rtl/>
        </w:rPr>
        <w:t>به منظور</w:t>
      </w:r>
      <w:r>
        <w:rPr>
          <w:rFonts w:hint="cs"/>
          <w:rtl/>
        </w:rPr>
        <w:t xml:space="preserve"> آن است که لفظ بتواند در معنا استعمال شود پس تا وقتی استعمال لفظ در معنا درک نشود، حقیقت وضع هم درک نمی</w:t>
      </w:r>
      <w:r>
        <w:rPr>
          <w:rtl/>
        </w:rPr>
        <w:softHyphen/>
      </w:r>
      <w:r>
        <w:rPr>
          <w:rFonts w:hint="cs"/>
          <w:rtl/>
        </w:rPr>
        <w:t>شود چون این</w:t>
      </w:r>
      <w:r>
        <w:rPr>
          <w:rtl/>
        </w:rPr>
        <w:softHyphen/>
      </w:r>
      <w:r>
        <w:rPr>
          <w:rFonts w:hint="cs"/>
          <w:rtl/>
        </w:rPr>
        <w:t>ها با یکدیگر فرق دارند و ما نیز در ادامه به تشریح این بحث خواهیم پرداخت. هم</w:t>
      </w:r>
      <w:r>
        <w:rPr>
          <w:rtl/>
        </w:rPr>
        <w:softHyphen/>
      </w:r>
      <w:r>
        <w:rPr>
          <w:rFonts w:hint="cs"/>
          <w:rtl/>
        </w:rPr>
        <w:t>اکنون صرفاً به دنبال طرح بحث هستیم لذا هر یک از این نکات در نهایت باید تشریح و تبیین شود.</w:t>
      </w:r>
    </w:p>
    <w:p w14:paraId="00BE59A2" w14:textId="59DCE49B" w:rsidR="00783DB9" w:rsidRDefault="00783DB9" w:rsidP="002A707E">
      <w:pPr>
        <w:jc w:val="both"/>
        <w:rPr>
          <w:rtl/>
        </w:rPr>
      </w:pPr>
      <w:r>
        <w:rPr>
          <w:rFonts w:hint="cs"/>
          <w:rtl/>
        </w:rPr>
        <w:t>نکتۀ دیگری که باید مدّ نظر قرار گیرد آن است که وقتی گفته می</w:t>
      </w:r>
      <w:r>
        <w:rPr>
          <w:rtl/>
        </w:rPr>
        <w:softHyphen/>
      </w:r>
      <w:r>
        <w:rPr>
          <w:rFonts w:hint="cs"/>
          <w:rtl/>
        </w:rPr>
        <w:t>شود، لفظ حکایتگر معنا است؛ مقصود از حکایت، یک امر تصوری است یا تصدیقی؟ به عبارت دیگر هدف واضع از وضع، چیست؟ آیا واضع می</w:t>
      </w:r>
      <w:r>
        <w:rPr>
          <w:rtl/>
        </w:rPr>
        <w:softHyphen/>
      </w:r>
      <w:r>
        <w:rPr>
          <w:rFonts w:hint="cs"/>
          <w:rtl/>
        </w:rPr>
        <w:t>خواهد</w:t>
      </w:r>
      <w:r w:rsidR="005B0A3F">
        <w:rPr>
          <w:rFonts w:hint="cs"/>
          <w:rtl/>
        </w:rPr>
        <w:t>،</w:t>
      </w:r>
      <w:r>
        <w:rPr>
          <w:rFonts w:hint="cs"/>
          <w:rtl/>
        </w:rPr>
        <w:t xml:space="preserve"> مخاطب ارادۀ متکلم نسبت به استعمال </w:t>
      </w:r>
      <w:r w:rsidR="005B0A3F">
        <w:rPr>
          <w:rFonts w:hint="cs"/>
          <w:rtl/>
        </w:rPr>
        <w:t>لفظ در معنا را</w:t>
      </w:r>
      <w:r>
        <w:rPr>
          <w:rFonts w:hint="cs"/>
          <w:rtl/>
        </w:rPr>
        <w:t xml:space="preserve"> بفهمد </w:t>
      </w:r>
      <w:r w:rsidR="005B0A3F">
        <w:rPr>
          <w:rFonts w:hint="cs"/>
          <w:rtl/>
        </w:rPr>
        <w:t>یعنی بفهمد متکلم این لفظ را در معنا استعمال کرده است؟ یا این که واضع صرفاً می</w:t>
      </w:r>
      <w:r w:rsidR="005B0A3F">
        <w:rPr>
          <w:rtl/>
        </w:rPr>
        <w:softHyphen/>
      </w:r>
      <w:r w:rsidR="005B0A3F">
        <w:rPr>
          <w:rFonts w:hint="cs"/>
          <w:rtl/>
        </w:rPr>
        <w:t>خواهد انفهام معنا از لفظ صورت گیرد یعنی صرفاً</w:t>
      </w:r>
      <w:r w:rsidR="00EC388B">
        <w:rPr>
          <w:rFonts w:hint="cs"/>
          <w:rtl/>
        </w:rPr>
        <w:t xml:space="preserve"> می</w:t>
      </w:r>
      <w:r w:rsidR="00EC388B">
        <w:rPr>
          <w:rtl/>
        </w:rPr>
        <w:softHyphen/>
      </w:r>
      <w:r w:rsidR="00EC388B">
        <w:rPr>
          <w:rFonts w:hint="cs"/>
          <w:rtl/>
        </w:rPr>
        <w:t>خواهد</w:t>
      </w:r>
      <w:r w:rsidR="005B0A3F">
        <w:rPr>
          <w:rFonts w:hint="cs"/>
          <w:rtl/>
        </w:rPr>
        <w:t xml:space="preserve"> این معنا از لفظ انفهام شود؟ به عبارت دیگر هدف وضع </w:t>
      </w:r>
      <w:r w:rsidR="00581DBA">
        <w:rPr>
          <w:rFonts w:cs="Cambria" w:hint="cs"/>
          <w:rtl/>
        </w:rPr>
        <w:t>_</w:t>
      </w:r>
      <w:r w:rsidR="00581DBA">
        <w:rPr>
          <w:rFonts w:hint="cs"/>
          <w:rtl/>
        </w:rPr>
        <w:t>که همان</w:t>
      </w:r>
      <w:r w:rsidR="005B0A3F">
        <w:rPr>
          <w:rFonts w:hint="cs"/>
          <w:rtl/>
        </w:rPr>
        <w:t xml:space="preserve"> استعمال</w:t>
      </w:r>
      <w:r w:rsidR="00581DBA">
        <w:rPr>
          <w:rFonts w:hint="cs"/>
          <w:rtl/>
        </w:rPr>
        <w:t xml:space="preserve"> است</w:t>
      </w:r>
      <w:r w:rsidR="00581DBA">
        <w:rPr>
          <w:rFonts w:cs="Cambria" w:hint="cs"/>
          <w:rtl/>
        </w:rPr>
        <w:t>_</w:t>
      </w:r>
      <w:r w:rsidR="005B0A3F">
        <w:rPr>
          <w:rFonts w:hint="cs"/>
          <w:rtl/>
        </w:rPr>
        <w:t>، تفهیم معنا است یا انفهام معنا؟ این نکته</w:t>
      </w:r>
      <w:r w:rsidR="005B0A3F">
        <w:rPr>
          <w:rtl/>
        </w:rPr>
        <w:softHyphen/>
      </w:r>
      <w:r w:rsidR="005B0A3F">
        <w:rPr>
          <w:rFonts w:hint="cs"/>
          <w:rtl/>
        </w:rPr>
        <w:t>ای است که باید تشریح و تبیین شود.</w:t>
      </w:r>
    </w:p>
    <w:p w14:paraId="2D0F630C" w14:textId="7C3408D6" w:rsidR="005B0A3F" w:rsidRDefault="005B0A3F" w:rsidP="002A707E">
      <w:pPr>
        <w:jc w:val="both"/>
        <w:rPr>
          <w:rtl/>
        </w:rPr>
      </w:pPr>
      <w:r>
        <w:rPr>
          <w:rFonts w:hint="cs"/>
          <w:rtl/>
        </w:rPr>
        <w:t>البته تعیین هدف از وضع تنها در وضع تعیینی تصویر دارد و الا در وضع تعیّنی هیچ هدفی قابل تصویر نیست چون  وضع تعیّنی امری است که خودبخود ایجاد می</w:t>
      </w:r>
      <w:r>
        <w:rPr>
          <w:rtl/>
        </w:rPr>
        <w:softHyphen/>
      </w:r>
      <w:r>
        <w:rPr>
          <w:rFonts w:hint="cs"/>
          <w:rtl/>
        </w:rPr>
        <w:t>شود. یک موقع ما حقیقت وضع تعیینی و تعیّنی را یکی می</w:t>
      </w:r>
      <w:r>
        <w:rPr>
          <w:rtl/>
        </w:rPr>
        <w:softHyphen/>
      </w:r>
      <w:r>
        <w:rPr>
          <w:rFonts w:hint="cs"/>
          <w:rtl/>
        </w:rPr>
        <w:t xml:space="preserve">دانیم؛ در این صورت لزوماً باید </w:t>
      </w:r>
      <w:r>
        <w:rPr>
          <w:rFonts w:hint="cs"/>
          <w:rtl/>
        </w:rPr>
        <w:lastRenderedPageBreak/>
        <w:t xml:space="preserve">حقیقت وضع را انفهام بدانیم چون در وضع تعیّنی، تفهیم معنا ندارد چون وضع تعیّنی هدف ندارد. وضع تعیّنی چیزی نیست که </w:t>
      </w:r>
      <w:r w:rsidR="00581DBA">
        <w:rPr>
          <w:rFonts w:hint="cs"/>
          <w:rtl/>
        </w:rPr>
        <w:t>معلول</w:t>
      </w:r>
      <w:r>
        <w:rPr>
          <w:rFonts w:hint="cs"/>
          <w:rtl/>
        </w:rPr>
        <w:t xml:space="preserve"> فعل صادر از ذی</w:t>
      </w:r>
      <w:r>
        <w:rPr>
          <w:rtl/>
        </w:rPr>
        <w:softHyphen/>
      </w:r>
      <w:r>
        <w:rPr>
          <w:rFonts w:hint="cs"/>
          <w:rtl/>
        </w:rPr>
        <w:t xml:space="preserve">شعور باشد بلکه خودبخود ایجاد شده است </w:t>
      </w:r>
      <w:r w:rsidR="00581DBA">
        <w:rPr>
          <w:rFonts w:hint="cs"/>
          <w:rtl/>
        </w:rPr>
        <w:t>پس</w:t>
      </w:r>
      <w:r>
        <w:rPr>
          <w:rFonts w:hint="cs"/>
          <w:rtl/>
        </w:rPr>
        <w:t xml:space="preserve"> هدفی را دنبال نمی</w:t>
      </w:r>
      <w:r>
        <w:rPr>
          <w:rtl/>
        </w:rPr>
        <w:softHyphen/>
      </w:r>
      <w:r>
        <w:rPr>
          <w:rFonts w:hint="cs"/>
          <w:rtl/>
        </w:rPr>
        <w:t>کند.</w:t>
      </w:r>
    </w:p>
    <w:p w14:paraId="2A9329FE" w14:textId="548A372F" w:rsidR="005B0A3F" w:rsidRDefault="00581DBA" w:rsidP="002A707E">
      <w:pPr>
        <w:jc w:val="both"/>
        <w:rPr>
          <w:rtl/>
        </w:rPr>
      </w:pPr>
      <w:r>
        <w:rPr>
          <w:rFonts w:hint="cs"/>
          <w:rtl/>
        </w:rPr>
        <w:t>در نتیجه</w:t>
      </w:r>
      <w:r w:rsidR="005B0A3F">
        <w:rPr>
          <w:rFonts w:hint="cs"/>
          <w:rtl/>
        </w:rPr>
        <w:t xml:space="preserve"> یکی از نکاتی که در این مباحث باید مدّ نظر قرار گیرد آن است که آیا حقیقت وضع تعیینی و تعیّنی یکسان است یا یکسان نیست؟</w:t>
      </w:r>
    </w:p>
    <w:p w14:paraId="0181E16F" w14:textId="26CF7F78" w:rsidR="005B0A3F" w:rsidRDefault="005B0A3F" w:rsidP="002A707E">
      <w:pPr>
        <w:jc w:val="both"/>
        <w:rPr>
          <w:rtl/>
        </w:rPr>
      </w:pPr>
      <w:r>
        <w:rPr>
          <w:rFonts w:hint="cs"/>
          <w:rtl/>
        </w:rPr>
        <w:t>محقق خراسانی در توضیحی که در تقریرات مطرح نموده، از مفاهیم متعدّدی استفاده کرده است که تبیین هر یک از این مفاهیم در روشن کردن حقیقت استعمال دخالت دارد</w:t>
      </w:r>
      <w:r w:rsidR="00F54077">
        <w:rPr>
          <w:rFonts w:hint="cs"/>
          <w:rtl/>
        </w:rPr>
        <w:t>:</w:t>
      </w:r>
    </w:p>
    <w:p w14:paraId="2C263D2B" w14:textId="77777777" w:rsidR="00F54077" w:rsidRDefault="005B0A3F" w:rsidP="002A707E">
      <w:pPr>
        <w:pStyle w:val="ListParagraph"/>
        <w:numPr>
          <w:ilvl w:val="0"/>
          <w:numId w:val="18"/>
        </w:numPr>
        <w:jc w:val="both"/>
      </w:pPr>
      <w:r>
        <w:rPr>
          <w:rFonts w:hint="cs"/>
          <w:rtl/>
        </w:rPr>
        <w:t>یک تعبیر ایشان این است که به وسیلۀ وضع، لفظ قالب برای معنا می</w:t>
      </w:r>
      <w:r>
        <w:rPr>
          <w:rtl/>
        </w:rPr>
        <w:softHyphen/>
      </w:r>
      <w:r>
        <w:rPr>
          <w:rFonts w:hint="cs"/>
          <w:rtl/>
        </w:rPr>
        <w:t>شود.</w:t>
      </w:r>
    </w:p>
    <w:p w14:paraId="520C46A0" w14:textId="77777777" w:rsidR="00F54077" w:rsidRDefault="005B0A3F" w:rsidP="002A707E">
      <w:pPr>
        <w:pStyle w:val="ListParagraph"/>
        <w:numPr>
          <w:ilvl w:val="0"/>
          <w:numId w:val="18"/>
        </w:numPr>
        <w:jc w:val="both"/>
      </w:pPr>
      <w:r>
        <w:rPr>
          <w:rFonts w:hint="cs"/>
          <w:rtl/>
        </w:rPr>
        <w:t>تعبیر دیگرشان این است که به وسیلۀ وضع، لفظ فانی در معنا می</w:t>
      </w:r>
      <w:r>
        <w:rPr>
          <w:rtl/>
        </w:rPr>
        <w:softHyphen/>
      </w:r>
      <w:r>
        <w:rPr>
          <w:rFonts w:hint="cs"/>
          <w:rtl/>
        </w:rPr>
        <w:t>شود.</w:t>
      </w:r>
    </w:p>
    <w:p w14:paraId="570AFD4D" w14:textId="377EEFE2" w:rsidR="00F54077" w:rsidRDefault="005B0A3F" w:rsidP="002A707E">
      <w:pPr>
        <w:pStyle w:val="ListParagraph"/>
        <w:numPr>
          <w:ilvl w:val="0"/>
          <w:numId w:val="18"/>
        </w:numPr>
        <w:jc w:val="both"/>
      </w:pPr>
      <w:r>
        <w:rPr>
          <w:rFonts w:hint="cs"/>
          <w:rtl/>
        </w:rPr>
        <w:t>تعبیر سوم ایشان این است که لفظ وجودی از وجودات معنا هست. این معنای سوم در حقیقت برگرفته از اصطلاح فلسفی است. در فلسفه یک تقسیم دوگانه برای وجود مطرح شده که اصطلاح وجود خارجی و ذهنی در مورد آن بکار می</w:t>
      </w:r>
      <w:r>
        <w:rPr>
          <w:rtl/>
        </w:rPr>
        <w:softHyphen/>
      </w:r>
      <w:r>
        <w:rPr>
          <w:rFonts w:hint="cs"/>
          <w:rtl/>
        </w:rPr>
        <w:t>رود</w:t>
      </w:r>
      <w:r w:rsidR="00581DBA">
        <w:rPr>
          <w:rFonts w:hint="cs"/>
          <w:rtl/>
        </w:rPr>
        <w:t xml:space="preserve">. </w:t>
      </w:r>
      <w:r>
        <w:rPr>
          <w:rFonts w:hint="cs"/>
          <w:rtl/>
        </w:rPr>
        <w:t xml:space="preserve">احیاناً این تقسیم دوگانه توسعه داده شده </w:t>
      </w:r>
      <w:r w:rsidR="00581DBA">
        <w:rPr>
          <w:rFonts w:hint="cs"/>
          <w:rtl/>
        </w:rPr>
        <w:t>به این صورت که</w:t>
      </w:r>
      <w:r>
        <w:rPr>
          <w:rFonts w:hint="cs"/>
          <w:rtl/>
        </w:rPr>
        <w:t xml:space="preserve"> یک شیء ممکن است وجود ذهنی، خارجی، لفظی، ایمائی </w:t>
      </w:r>
      <w:r w:rsidR="00581DBA">
        <w:rPr>
          <w:rFonts w:cs="Cambria" w:hint="cs"/>
          <w:rtl/>
        </w:rPr>
        <w:t>_</w:t>
      </w:r>
      <w:r w:rsidR="00581DBA">
        <w:rPr>
          <w:rFonts w:hint="cs"/>
          <w:rtl/>
        </w:rPr>
        <w:t>یا همان اشاره</w:t>
      </w:r>
      <w:r w:rsidR="00581DBA">
        <w:rPr>
          <w:rtl/>
        </w:rPr>
        <w:softHyphen/>
      </w:r>
      <w:r w:rsidR="00581DBA">
        <w:rPr>
          <w:rFonts w:hint="cs"/>
          <w:rtl/>
        </w:rPr>
        <w:t>ای</w:t>
      </w:r>
      <w:r w:rsidR="00581DBA">
        <w:rPr>
          <w:rFonts w:cs="Cambria" w:hint="cs"/>
          <w:rtl/>
        </w:rPr>
        <w:t>_</w:t>
      </w:r>
      <w:r w:rsidR="00F54077">
        <w:rPr>
          <w:rFonts w:hint="cs"/>
          <w:rtl/>
        </w:rPr>
        <w:t xml:space="preserve"> و یا</w:t>
      </w:r>
      <w:r>
        <w:rPr>
          <w:rFonts w:hint="cs"/>
          <w:rtl/>
        </w:rPr>
        <w:t xml:space="preserve"> کتبی داشته باشد.</w:t>
      </w:r>
      <w:r w:rsidR="00F54077">
        <w:rPr>
          <w:rFonts w:hint="cs"/>
          <w:rtl/>
        </w:rPr>
        <w:t xml:space="preserve"> این تعیبراتی است که در تقریرات بیان شده است. در اینجا یک مفهوم خاصی برای وجود طراحی کرد</w:t>
      </w:r>
      <w:r w:rsidR="00581DBA">
        <w:rPr>
          <w:rFonts w:hint="cs"/>
          <w:rtl/>
        </w:rPr>
        <w:t>ه</w:t>
      </w:r>
      <w:r w:rsidR="00581DBA">
        <w:rPr>
          <w:rtl/>
        </w:rPr>
        <w:softHyphen/>
      </w:r>
      <w:r w:rsidR="00581DBA">
        <w:rPr>
          <w:rFonts w:hint="cs"/>
          <w:rtl/>
        </w:rPr>
        <w:t>ا</w:t>
      </w:r>
      <w:r w:rsidR="00F54077">
        <w:rPr>
          <w:rFonts w:hint="cs"/>
          <w:rtl/>
        </w:rPr>
        <w:t>ند که یک شیء ممکن است انواع و اقسام وجود را دارا باشد که یکی از این وجودات، وجو</w:t>
      </w:r>
      <w:r w:rsidR="00581DBA">
        <w:rPr>
          <w:rFonts w:hint="cs"/>
          <w:rtl/>
        </w:rPr>
        <w:t>د</w:t>
      </w:r>
      <w:r w:rsidR="00F54077">
        <w:rPr>
          <w:rFonts w:hint="cs"/>
          <w:rtl/>
        </w:rPr>
        <w:t xml:space="preserve"> لفظی است.</w:t>
      </w:r>
    </w:p>
    <w:p w14:paraId="77B60370" w14:textId="33451D65" w:rsidR="00EF0E8F" w:rsidRDefault="00F54077" w:rsidP="002A707E">
      <w:pPr>
        <w:pStyle w:val="ListParagraph"/>
        <w:numPr>
          <w:ilvl w:val="0"/>
          <w:numId w:val="18"/>
        </w:numPr>
        <w:jc w:val="both"/>
      </w:pPr>
      <w:r>
        <w:rPr>
          <w:rFonts w:hint="cs"/>
          <w:rtl/>
        </w:rPr>
        <w:t>تعبیر چهارمی که پس از این توسط محقق خراسانی در بیان حقیقت وضع بکار رفته، تعبیری است که شاید سرچشمۀ آغاز مسلکی به نام مسلک تعهّد شده است. در آینده به این نکته خواهیم پرداخت که حقیقت وضع، از مقولۀ اعتبار است یا از مقولۀ تعهّد؛ این یک بحث بسیار مهم و جدی است که باید به آن پرداخته شود. محقق خراسانی تعبیری در تقریرات دارند که زمینه</w:t>
      </w:r>
      <w:r>
        <w:rPr>
          <w:rtl/>
        </w:rPr>
        <w:softHyphen/>
      </w:r>
      <w:r>
        <w:rPr>
          <w:rFonts w:hint="cs"/>
          <w:rtl/>
        </w:rPr>
        <w:t xml:space="preserve">ساز تحقق مسلکی است که بعد از ایشان توسط مرحوم نهاوندی شکل گرفته است که وضع را به معنای تعهّد </w:t>
      </w:r>
      <w:r w:rsidR="00581DBA">
        <w:rPr>
          <w:rFonts w:hint="cs"/>
          <w:rtl/>
        </w:rPr>
        <w:t>دانسته</w:t>
      </w:r>
      <w:r>
        <w:rPr>
          <w:rFonts w:hint="cs"/>
          <w:rtl/>
        </w:rPr>
        <w:t xml:space="preserve"> است.</w:t>
      </w:r>
      <w:r>
        <w:t xml:space="preserve"> </w:t>
      </w:r>
      <w:r>
        <w:rPr>
          <w:rFonts w:hint="cs"/>
          <w:rtl/>
        </w:rPr>
        <w:t>محقق خراسانی پس از معنا کردن وضع می</w:t>
      </w:r>
      <w:r>
        <w:rPr>
          <w:rtl/>
        </w:rPr>
        <w:softHyphen/>
      </w:r>
      <w:r>
        <w:rPr>
          <w:rFonts w:hint="cs"/>
          <w:rtl/>
        </w:rPr>
        <w:t>فرماید وضع یا همان علقۀ خاص، دو سبب دارد: یک سبب اختیاری دارد و یک سبب قهری دارد. در مورد سبب اختیاری می</w:t>
      </w:r>
      <w:r>
        <w:rPr>
          <w:rtl/>
        </w:rPr>
        <w:softHyphen/>
      </w:r>
      <w:r>
        <w:rPr>
          <w:rFonts w:hint="cs"/>
          <w:rtl/>
        </w:rPr>
        <w:t>فرماید:</w:t>
      </w:r>
    </w:p>
    <w:p w14:paraId="6AD2420C" w14:textId="7910BB23" w:rsidR="00F54077" w:rsidRPr="004168B1" w:rsidRDefault="00F54077" w:rsidP="002A707E">
      <w:pPr>
        <w:ind w:left="360"/>
        <w:jc w:val="both"/>
        <w:rPr>
          <w:color w:val="000080"/>
          <w:rtl/>
        </w:rPr>
      </w:pPr>
      <w:r w:rsidRPr="004168B1">
        <w:rPr>
          <w:rFonts w:hint="cs"/>
          <w:color w:val="000080"/>
          <w:rtl/>
        </w:rPr>
        <w:t xml:space="preserve">فالأول کما لو انشأ باللفظ فیصرّح بأنی وضعت </w:t>
      </w:r>
      <w:r w:rsidR="004168B1" w:rsidRPr="004168B1">
        <w:rPr>
          <w:rFonts w:hint="cs"/>
          <w:color w:val="000080"/>
          <w:rtl/>
        </w:rPr>
        <w:t>اللفظ الفلانی للمعنی الفلانی بحیث یکون ذلک منه تعاهداً بینه و بین من خوطب به من اهل محاور</w:t>
      </w:r>
      <w:r w:rsidR="004168B1">
        <w:rPr>
          <w:rFonts w:hint="cs"/>
          <w:color w:val="000080"/>
          <w:rtl/>
        </w:rPr>
        <w:t>ا</w:t>
      </w:r>
      <w:r w:rsidR="004168B1" w:rsidRPr="004168B1">
        <w:rPr>
          <w:rFonts w:hint="cs"/>
          <w:color w:val="000080"/>
          <w:rtl/>
        </w:rPr>
        <w:t>ته ...</w:t>
      </w:r>
      <w:r w:rsidR="004168B1">
        <w:rPr>
          <w:rFonts w:hint="cs"/>
          <w:color w:val="000080"/>
          <w:rtl/>
        </w:rPr>
        <w:t xml:space="preserve"> </w:t>
      </w:r>
      <w:r w:rsidR="004168B1">
        <w:rPr>
          <w:rStyle w:val="FootnoteReference"/>
          <w:color w:val="000080"/>
          <w:rtl/>
        </w:rPr>
        <w:footnoteReference w:id="9"/>
      </w:r>
      <w:r w:rsidR="004168B1">
        <w:rPr>
          <w:rFonts w:hint="cs"/>
          <w:color w:val="000080"/>
          <w:rtl/>
        </w:rPr>
        <w:t>.</w:t>
      </w:r>
    </w:p>
    <w:p w14:paraId="40329C0B" w14:textId="15CE0C76" w:rsidR="004168B1" w:rsidRDefault="004168B1" w:rsidP="002A707E">
      <w:pPr>
        <w:ind w:left="360"/>
        <w:jc w:val="both"/>
        <w:rPr>
          <w:rtl/>
        </w:rPr>
      </w:pPr>
      <w:r>
        <w:rPr>
          <w:rFonts w:hint="cs"/>
          <w:rtl/>
        </w:rPr>
        <w:t>چنانکه پیدا است ایشان وضع را یک نوع تعاهد قلمداد نموده است. باید دانست بین تعهّد و تعاهد فرق است. تعهّد یک طرفی است و از جانب واضع صورت می</w:t>
      </w:r>
      <w:r>
        <w:rPr>
          <w:rtl/>
        </w:rPr>
        <w:softHyphen/>
      </w:r>
      <w:r>
        <w:rPr>
          <w:rFonts w:hint="cs"/>
          <w:rtl/>
        </w:rPr>
        <w:t xml:space="preserve">گیرد اما ایشان مقولۀ جدیدی را مطرح نموده است به نام تعاهد که یک قرارداد </w:t>
      </w:r>
      <w:r>
        <w:rPr>
          <w:rFonts w:hint="cs"/>
          <w:rtl/>
        </w:rPr>
        <w:lastRenderedPageBreak/>
        <w:t>طرفینی است؛ قراردادی که بین واضع و مخاطبین ایجاد می</w:t>
      </w:r>
      <w:r>
        <w:rPr>
          <w:rtl/>
        </w:rPr>
        <w:softHyphen/>
      </w:r>
      <w:r>
        <w:rPr>
          <w:rFonts w:hint="cs"/>
          <w:rtl/>
        </w:rPr>
        <w:t xml:space="preserve">شود: </w:t>
      </w:r>
      <w:r w:rsidRPr="004168B1">
        <w:rPr>
          <w:rFonts w:hint="cs"/>
          <w:color w:val="000080"/>
          <w:rtl/>
        </w:rPr>
        <w:t>بحیث یکون ذلک منه تعاهداً بینه و بین من خوطب به من اهل محاور</w:t>
      </w:r>
      <w:r>
        <w:rPr>
          <w:rFonts w:hint="cs"/>
          <w:color w:val="000080"/>
          <w:rtl/>
        </w:rPr>
        <w:t>ا</w:t>
      </w:r>
      <w:r w:rsidRPr="004168B1">
        <w:rPr>
          <w:rFonts w:hint="cs"/>
          <w:color w:val="000080"/>
          <w:rtl/>
        </w:rPr>
        <w:t>ته</w:t>
      </w:r>
      <w:r>
        <w:rPr>
          <w:rFonts w:hint="cs"/>
          <w:color w:val="000080"/>
          <w:rtl/>
        </w:rPr>
        <w:t xml:space="preserve">. </w:t>
      </w:r>
      <w:r>
        <w:rPr>
          <w:rFonts w:hint="cs"/>
          <w:rtl/>
        </w:rPr>
        <w:t>این هم تعبیر دیگری است که محقق خراسانی مطرح نموده است.</w:t>
      </w:r>
    </w:p>
    <w:p w14:paraId="1CC0D68C" w14:textId="6A467056" w:rsidR="004168B1" w:rsidRDefault="004168B1" w:rsidP="002A707E">
      <w:pPr>
        <w:pStyle w:val="Heading2"/>
        <w:jc w:val="both"/>
        <w:rPr>
          <w:rtl/>
        </w:rPr>
      </w:pPr>
      <w:bookmarkStart w:id="11" w:name="_Toc146558324"/>
      <w:r>
        <w:rPr>
          <w:rFonts w:hint="cs"/>
          <w:rtl/>
        </w:rPr>
        <w:t>روش طرح بحث</w:t>
      </w:r>
      <w:bookmarkEnd w:id="11"/>
    </w:p>
    <w:p w14:paraId="38696F83" w14:textId="77777777" w:rsidR="004168B1" w:rsidRDefault="004168B1" w:rsidP="002A707E">
      <w:pPr>
        <w:jc w:val="both"/>
        <w:rPr>
          <w:rtl/>
        </w:rPr>
      </w:pPr>
      <w:r>
        <w:rPr>
          <w:rFonts w:hint="cs"/>
          <w:rtl/>
        </w:rPr>
        <w:t>به نظر می</w:t>
      </w:r>
      <w:r>
        <w:rPr>
          <w:rtl/>
        </w:rPr>
        <w:softHyphen/>
      </w:r>
      <w:r>
        <w:rPr>
          <w:rFonts w:hint="cs"/>
          <w:rtl/>
        </w:rPr>
        <w:t>رسد لازم است بحث از حقیقت وضع تعیینی را از بحث از حقیقت وضع تعیّنی جدا کنیم. البته ممکن است برای فهم وضع تعیینی به حقیقت وضع تعیّنی توجه کنیم اما به هر حال نکات موجود در وضع تعیینی به عنوان فعلی که از شخص ذی</w:t>
      </w:r>
      <w:r>
        <w:rPr>
          <w:rtl/>
        </w:rPr>
        <w:softHyphen/>
      </w:r>
      <w:r>
        <w:rPr>
          <w:rFonts w:hint="cs"/>
          <w:rtl/>
        </w:rPr>
        <w:t>شعور صادر می</w:t>
      </w:r>
      <w:r>
        <w:rPr>
          <w:rtl/>
        </w:rPr>
        <w:softHyphen/>
      </w:r>
      <w:r>
        <w:rPr>
          <w:rFonts w:hint="cs"/>
          <w:rtl/>
        </w:rPr>
        <w:t xml:space="preserve">شود با نکات موجود در وضع تعیّنی متفاوت است. </w:t>
      </w:r>
    </w:p>
    <w:p w14:paraId="2B508D3A" w14:textId="776ADFAD" w:rsidR="004168B1" w:rsidRDefault="004168B1" w:rsidP="002A707E">
      <w:pPr>
        <w:jc w:val="both"/>
        <w:rPr>
          <w:rtl/>
        </w:rPr>
      </w:pPr>
      <w:r>
        <w:rPr>
          <w:rFonts w:hint="cs"/>
          <w:rtl/>
        </w:rPr>
        <w:t>نکته</w:t>
      </w:r>
      <w:r>
        <w:rPr>
          <w:rtl/>
        </w:rPr>
        <w:softHyphen/>
      </w:r>
      <w:r>
        <w:rPr>
          <w:rFonts w:hint="cs"/>
          <w:rtl/>
        </w:rPr>
        <w:t>ای که در وضع تعیینی وجود دارد این است که ما در زندگی روزمرۀ خودمان مشابه وضع تعیینی را تجربه می</w:t>
      </w:r>
      <w:r>
        <w:rPr>
          <w:rtl/>
        </w:rPr>
        <w:softHyphen/>
      </w:r>
      <w:r>
        <w:rPr>
          <w:rFonts w:hint="cs"/>
          <w:rtl/>
        </w:rPr>
        <w:t>کنیم؛ مثلاً به هنگام نام</w:t>
      </w:r>
      <w:r w:rsidR="00581DBA">
        <w:rPr>
          <w:rtl/>
        </w:rPr>
        <w:softHyphen/>
      </w:r>
      <w:r>
        <w:rPr>
          <w:rFonts w:hint="cs"/>
          <w:rtl/>
        </w:rPr>
        <w:t>گذاری فرزند یا نام</w:t>
      </w:r>
      <w:r>
        <w:rPr>
          <w:rtl/>
        </w:rPr>
        <w:softHyphen/>
      </w:r>
      <w:r>
        <w:rPr>
          <w:rFonts w:hint="cs"/>
          <w:rtl/>
        </w:rPr>
        <w:t xml:space="preserve">گذاری محصولات یک کارخانه در </w:t>
      </w:r>
      <w:r w:rsidR="00581DBA">
        <w:rPr>
          <w:rFonts w:hint="cs"/>
          <w:rtl/>
        </w:rPr>
        <w:t>واقع، نوعی</w:t>
      </w:r>
      <w:r>
        <w:rPr>
          <w:rFonts w:hint="cs"/>
          <w:rtl/>
        </w:rPr>
        <w:t xml:space="preserve"> عملیات وضع رخ می</w:t>
      </w:r>
      <w:r>
        <w:rPr>
          <w:rtl/>
        </w:rPr>
        <w:softHyphen/>
      </w:r>
      <w:r>
        <w:rPr>
          <w:rFonts w:hint="cs"/>
          <w:rtl/>
        </w:rPr>
        <w:t xml:space="preserve">دهد لذا ما برای تشخیص حقیقت وضع، ممکن است به این تجربۀ شخصی مراجعه نمائیم یا از تجربیاتی که </w:t>
      </w:r>
      <w:r w:rsidR="00581DBA">
        <w:rPr>
          <w:rFonts w:hint="cs"/>
          <w:rtl/>
        </w:rPr>
        <w:t xml:space="preserve">برای </w:t>
      </w:r>
      <w:r>
        <w:rPr>
          <w:rFonts w:hint="cs"/>
          <w:rtl/>
        </w:rPr>
        <w:t>هم</w:t>
      </w:r>
      <w:r>
        <w:rPr>
          <w:rtl/>
        </w:rPr>
        <w:softHyphen/>
      </w:r>
      <w:r>
        <w:rPr>
          <w:rFonts w:hint="cs"/>
          <w:rtl/>
        </w:rPr>
        <w:t>نوعانمان در امثال موارد مذکور رخ داده است کمک بگیریم تا این حقیقت را تحلیل کنیم. اما وضع تعیّنی فاقد نکتۀ مذکور است و پیچیدگی</w:t>
      </w:r>
      <w:r>
        <w:rPr>
          <w:rtl/>
        </w:rPr>
        <w:softHyphen/>
      </w:r>
      <w:r>
        <w:rPr>
          <w:rFonts w:hint="cs"/>
          <w:rtl/>
        </w:rPr>
        <w:t>های خاص خود را دارد. ممکن است در وضع تعیینی بگوئیم چون ما خودمان برای فرزندمان یک نام انتخاب می</w:t>
      </w:r>
      <w:r>
        <w:rPr>
          <w:rtl/>
        </w:rPr>
        <w:softHyphen/>
      </w:r>
      <w:r>
        <w:rPr>
          <w:rFonts w:hint="cs"/>
          <w:rtl/>
        </w:rPr>
        <w:t>کنیم و آن را برای معنای مورد نظر وضع می</w:t>
      </w:r>
      <w:r>
        <w:rPr>
          <w:rtl/>
        </w:rPr>
        <w:softHyphen/>
      </w:r>
      <w:r>
        <w:rPr>
          <w:rFonts w:hint="cs"/>
          <w:rtl/>
        </w:rPr>
        <w:t>کنیم، می</w:t>
      </w:r>
      <w:r>
        <w:rPr>
          <w:rtl/>
        </w:rPr>
        <w:softHyphen/>
      </w:r>
      <w:r>
        <w:rPr>
          <w:rFonts w:hint="cs"/>
          <w:rtl/>
        </w:rPr>
        <w:t>توانیم به درون خودمان مراجعه کنیم و ببینیم چه کار</w:t>
      </w:r>
      <w:r w:rsidR="00006E1C">
        <w:rPr>
          <w:rFonts w:hint="cs"/>
          <w:rtl/>
        </w:rPr>
        <w:t>ی انجام داده</w:t>
      </w:r>
      <w:r w:rsidR="00006E1C">
        <w:rPr>
          <w:rtl/>
        </w:rPr>
        <w:softHyphen/>
      </w:r>
      <w:r w:rsidR="00006E1C">
        <w:rPr>
          <w:rFonts w:hint="cs"/>
          <w:rtl/>
        </w:rPr>
        <w:t>ایم چون ممکن است گفته شود ما نسبت به فعلی که خودمان انجام می</w:t>
      </w:r>
      <w:r w:rsidR="00006E1C">
        <w:rPr>
          <w:rtl/>
        </w:rPr>
        <w:softHyphen/>
      </w:r>
      <w:r w:rsidR="00006E1C">
        <w:rPr>
          <w:rFonts w:hint="cs"/>
          <w:rtl/>
        </w:rPr>
        <w:t>دهیم یک نوع آگاهی داریم و می</w:t>
      </w:r>
      <w:r w:rsidR="00006E1C">
        <w:rPr>
          <w:rtl/>
        </w:rPr>
        <w:softHyphen/>
      </w:r>
      <w:r w:rsidR="00006E1C">
        <w:rPr>
          <w:rFonts w:hint="cs"/>
          <w:rtl/>
        </w:rPr>
        <w:t>توانیم از دریچۀ تحلیل آن، حقیقت وضع تعیینی را تحلیل کنیم؛ بر خلاف وضع تعیّنی که یک فعل</w:t>
      </w:r>
      <w:r w:rsidR="00581DBA">
        <w:rPr>
          <w:rFonts w:hint="cs"/>
          <w:rtl/>
        </w:rPr>
        <w:t xml:space="preserve"> آگاهانۀ</w:t>
      </w:r>
      <w:r w:rsidR="00006E1C">
        <w:rPr>
          <w:rFonts w:hint="cs"/>
          <w:rtl/>
        </w:rPr>
        <w:t xml:space="preserve"> صادر از </w:t>
      </w:r>
      <w:r w:rsidR="00581DBA">
        <w:rPr>
          <w:rFonts w:hint="cs"/>
          <w:rtl/>
        </w:rPr>
        <w:t>فاعل ذی</w:t>
      </w:r>
      <w:r w:rsidR="00581DBA">
        <w:rPr>
          <w:rtl/>
        </w:rPr>
        <w:softHyphen/>
      </w:r>
      <w:r w:rsidR="00581DBA">
        <w:rPr>
          <w:rFonts w:hint="cs"/>
          <w:rtl/>
        </w:rPr>
        <w:t>شعور</w:t>
      </w:r>
      <w:r w:rsidR="00006E1C">
        <w:rPr>
          <w:rFonts w:hint="cs"/>
          <w:rtl/>
        </w:rPr>
        <w:t xml:space="preserve"> نیست تا بتوان به راحتی آن را تحلیل کرد.</w:t>
      </w:r>
    </w:p>
    <w:p w14:paraId="2EC960E1" w14:textId="48D53B2E" w:rsidR="00006E1C" w:rsidRDefault="00006E1C" w:rsidP="002A707E">
      <w:pPr>
        <w:jc w:val="both"/>
        <w:rPr>
          <w:rtl/>
        </w:rPr>
      </w:pPr>
      <w:r>
        <w:rPr>
          <w:rFonts w:hint="cs"/>
          <w:rtl/>
        </w:rPr>
        <w:t>بنابراین به نظر می</w:t>
      </w:r>
      <w:r>
        <w:rPr>
          <w:rtl/>
        </w:rPr>
        <w:softHyphen/>
      </w:r>
      <w:r>
        <w:rPr>
          <w:rFonts w:hint="cs"/>
          <w:rtl/>
        </w:rPr>
        <w:t xml:space="preserve">رسد باید بین بحث از وضع تعیینی و تعیّنی تفکیک کرد و </w:t>
      </w:r>
      <w:r w:rsidR="00581DBA">
        <w:rPr>
          <w:rFonts w:hint="cs"/>
          <w:rtl/>
        </w:rPr>
        <w:t>مسلک</w:t>
      </w:r>
      <w:r w:rsidR="00581DBA">
        <w:rPr>
          <w:rtl/>
        </w:rPr>
        <w:softHyphen/>
      </w:r>
      <w:r w:rsidR="00581DBA">
        <w:rPr>
          <w:rFonts w:hint="cs"/>
          <w:rtl/>
        </w:rPr>
        <w:t>هایی</w:t>
      </w:r>
      <w:r>
        <w:rPr>
          <w:rFonts w:hint="cs"/>
          <w:rtl/>
        </w:rPr>
        <w:t xml:space="preserve"> که در این بحث وجود دارد نیز همراه با خلط بین این دو بحث است. برخی از </w:t>
      </w:r>
      <w:r w:rsidR="00581DBA">
        <w:rPr>
          <w:rFonts w:hint="cs"/>
          <w:rtl/>
        </w:rPr>
        <w:t>مسلک</w:t>
      </w:r>
      <w:r w:rsidR="00581DBA">
        <w:rPr>
          <w:rtl/>
        </w:rPr>
        <w:softHyphen/>
      </w:r>
      <w:r w:rsidR="00581DBA">
        <w:rPr>
          <w:rFonts w:hint="cs"/>
          <w:rtl/>
        </w:rPr>
        <w:t>ها</w:t>
      </w:r>
      <w:r>
        <w:rPr>
          <w:rFonts w:hint="cs"/>
          <w:rtl/>
        </w:rPr>
        <w:t xml:space="preserve"> همچون مسلک تعهّد یا مسلک تعاهد </w:t>
      </w:r>
      <w:r>
        <w:rPr>
          <w:rFonts w:cs="Cambria" w:hint="cs"/>
          <w:rtl/>
        </w:rPr>
        <w:t>_</w:t>
      </w:r>
      <w:r>
        <w:rPr>
          <w:rFonts w:hint="cs"/>
          <w:rtl/>
        </w:rPr>
        <w:t>که در عبارت محقق خراسانی مطرح شد</w:t>
      </w:r>
      <w:r>
        <w:rPr>
          <w:rFonts w:cs="Cambria" w:hint="cs"/>
          <w:rtl/>
        </w:rPr>
        <w:t xml:space="preserve">_ </w:t>
      </w:r>
      <w:r>
        <w:rPr>
          <w:rFonts w:hint="cs"/>
          <w:rtl/>
        </w:rPr>
        <w:t xml:space="preserve">تنها در وضع تعیینی قابل پذیرش است و در وضع تعیّنی اصلاً تصویر ندارد چون تعهّد و تعاهد و امثال آن، از افعال اختیاری واضع هستند و چنین فعل اختیاریی در وضع تعیّنی وجود ندارد پس این </w:t>
      </w:r>
      <w:r w:rsidR="00581DBA">
        <w:rPr>
          <w:rFonts w:hint="cs"/>
          <w:rtl/>
        </w:rPr>
        <w:t>مسلک</w:t>
      </w:r>
      <w:r w:rsidR="00581DBA">
        <w:rPr>
          <w:rtl/>
        </w:rPr>
        <w:softHyphen/>
      </w:r>
      <w:r w:rsidR="00581DBA">
        <w:rPr>
          <w:rFonts w:hint="cs"/>
          <w:rtl/>
        </w:rPr>
        <w:t>ها</w:t>
      </w:r>
      <w:r>
        <w:rPr>
          <w:rFonts w:hint="cs"/>
          <w:rtl/>
        </w:rPr>
        <w:t xml:space="preserve"> در جایی مطرح می</w:t>
      </w:r>
      <w:r>
        <w:rPr>
          <w:rtl/>
        </w:rPr>
        <w:softHyphen/>
      </w:r>
      <w:r>
        <w:rPr>
          <w:rFonts w:hint="cs"/>
          <w:rtl/>
        </w:rPr>
        <w:t>شوند که حقیقت وضع تعیینی با حقیقت وضع تعیّنی متفاوت قلمداد شود؛ در نتیجه بحث این دو باید از هم تفکیک شود.</w:t>
      </w:r>
    </w:p>
    <w:p w14:paraId="0EC9E151" w14:textId="36F8CB1D" w:rsidR="00006E1C" w:rsidRDefault="00006E1C" w:rsidP="002A707E">
      <w:pPr>
        <w:jc w:val="both"/>
        <w:rPr>
          <w:rtl/>
        </w:rPr>
      </w:pPr>
      <w:r>
        <w:rPr>
          <w:rFonts w:hint="cs"/>
          <w:rtl/>
        </w:rPr>
        <w:t>ما ابتدا بحث وضع تعیینی را مطرح می</w:t>
      </w:r>
      <w:r>
        <w:rPr>
          <w:rtl/>
        </w:rPr>
        <w:softHyphen/>
      </w:r>
      <w:r>
        <w:rPr>
          <w:rFonts w:hint="cs"/>
          <w:rtl/>
        </w:rPr>
        <w:t>کنیم با عنایت به این نکته که ممکن است شخصی بگوید من وجداناً می</w:t>
      </w:r>
      <w:r>
        <w:rPr>
          <w:rtl/>
        </w:rPr>
        <w:softHyphen/>
      </w:r>
      <w:r>
        <w:rPr>
          <w:rFonts w:hint="cs"/>
          <w:rtl/>
        </w:rPr>
        <w:t>دانم حقیقت وضع تعیینی با حقیقت وضع تعیّنی یکسان است که این در حقیقت یک استدلال بر تعیین حقیقت وضع تعیینی قلمداد می</w:t>
      </w:r>
      <w:r>
        <w:rPr>
          <w:rtl/>
        </w:rPr>
        <w:softHyphen/>
      </w:r>
      <w:r>
        <w:rPr>
          <w:rFonts w:hint="cs"/>
          <w:rtl/>
        </w:rPr>
        <w:t>شود.</w:t>
      </w:r>
    </w:p>
    <w:p w14:paraId="0194EA8F" w14:textId="728AD37E" w:rsidR="00006E1C" w:rsidRPr="004168B1" w:rsidRDefault="00006E1C" w:rsidP="002A707E">
      <w:pPr>
        <w:jc w:val="both"/>
        <w:rPr>
          <w:rtl/>
        </w:rPr>
      </w:pPr>
      <w:r>
        <w:rPr>
          <w:rFonts w:hint="cs"/>
          <w:rtl/>
        </w:rPr>
        <w:t>آنچه مد نظر ما است این است که این دو بحث باید از هم تفکیک شوند. مسالکی که در بحث وضع تعیینی است با تحلیل</w:t>
      </w:r>
      <w:r>
        <w:rPr>
          <w:rtl/>
        </w:rPr>
        <w:softHyphen/>
      </w:r>
      <w:r>
        <w:rPr>
          <w:rFonts w:hint="cs"/>
          <w:rtl/>
        </w:rPr>
        <w:t>هایی که در وضع تعیّنی مطرح است متفاوت است لذا ما بحث از وضع تعیینی را مطرح می</w:t>
      </w:r>
      <w:r>
        <w:rPr>
          <w:rtl/>
        </w:rPr>
        <w:softHyphen/>
      </w:r>
      <w:r>
        <w:rPr>
          <w:rFonts w:hint="cs"/>
          <w:rtl/>
        </w:rPr>
        <w:t xml:space="preserve">کنیم با عنایت به این نکته که نکات مرتبط با وضع تعینی چه بسا </w:t>
      </w:r>
      <w:r w:rsidR="002A707E">
        <w:rPr>
          <w:rFonts w:hint="cs"/>
          <w:rtl/>
        </w:rPr>
        <w:t>ب</w:t>
      </w:r>
      <w:r>
        <w:rPr>
          <w:rFonts w:hint="cs"/>
          <w:rtl/>
        </w:rPr>
        <w:t xml:space="preserve">تواند ما را </w:t>
      </w:r>
      <w:r w:rsidR="002A707E">
        <w:rPr>
          <w:rFonts w:hint="cs"/>
          <w:rtl/>
        </w:rPr>
        <w:t xml:space="preserve">در تعیین حقیقت وضع تعیینی </w:t>
      </w:r>
      <w:r>
        <w:rPr>
          <w:rFonts w:hint="cs"/>
          <w:rtl/>
        </w:rPr>
        <w:t>یاری دهد.</w:t>
      </w:r>
    </w:p>
    <w:sectPr w:rsidR="00006E1C" w:rsidRPr="004168B1" w:rsidSect="00F91B85">
      <w:footerReference w:type="default" r:id="rId9"/>
      <w:footnotePr>
        <w:numRestart w:val="eachPage"/>
      </w:footnotePr>
      <w:pgSz w:w="11906" w:h="16838"/>
      <w:pgMar w:top="851" w:right="851" w:bottom="851" w:left="851" w:header="709" w:footer="0" w:gutter="0"/>
      <w:pgBorders w:offsetFrom="page">
        <w:top w:val="thinThickSmallGap" w:sz="18" w:space="24" w:color="auto"/>
        <w:left w:val="thinThickSmallGap" w:sz="18" w:space="24" w:color="auto"/>
        <w:bottom w:val="thickThinSmallGap" w:sz="18" w:space="24" w:color="auto"/>
        <w:right w:val="thickThinSmallGap" w:sz="18" w:space="24" w:color="auto"/>
      </w:pgBorders>
      <w:cols w:space="708"/>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77243D" w14:textId="77777777" w:rsidR="0092045C" w:rsidRDefault="0092045C" w:rsidP="008B750B">
      <w:pPr>
        <w:spacing w:line="240" w:lineRule="auto"/>
      </w:pPr>
      <w:r>
        <w:separator/>
      </w:r>
    </w:p>
  </w:endnote>
  <w:endnote w:type="continuationSeparator" w:id="0">
    <w:p w14:paraId="3B8D0ACE" w14:textId="77777777" w:rsidR="0092045C" w:rsidRDefault="0092045C" w:rsidP="008B750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B Badr">
    <w:panose1 w:val="00000400000000000000"/>
    <w:charset w:val="B2"/>
    <w:family w:val="auto"/>
    <w:pitch w:val="variable"/>
    <w:sig w:usb0="00002001" w:usb1="80000000" w:usb2="00000008" w:usb3="00000000" w:csb0="00000040" w:csb1="00000000"/>
  </w:font>
  <w:font w:name="Cambria">
    <w:panose1 w:val="02040503050406030204"/>
    <w:charset w:val="00"/>
    <w:family w:val="roman"/>
    <w:pitch w:val="variable"/>
    <w:sig w:usb0="E00006FF" w:usb1="420024FF" w:usb2="02000000" w:usb3="00000000" w:csb0="0000019F" w:csb1="00000000"/>
  </w:font>
  <w:font w:name="B Titr">
    <w:panose1 w:val="00000700000000000000"/>
    <w:charset w:val="B2"/>
    <w:family w:val="auto"/>
    <w:pitch w:val="variable"/>
    <w:sig w:usb0="00002001" w:usb1="80000000" w:usb2="00000008" w:usb3="00000000" w:csb0="00000040" w:csb1="00000000"/>
  </w:font>
  <w:font w:name="B Lotus">
    <w:panose1 w:val="00000400000000000000"/>
    <w:charset w:val="B2"/>
    <w:family w:val="auto"/>
    <w:pitch w:val="variable"/>
    <w:sig w:usb0="00002001" w:usb1="80000000" w:usb2="00000008" w:usb3="00000000" w:csb0="00000040" w:csb1="00000000"/>
  </w:font>
  <w:font w:name="Tahoma">
    <w:panose1 w:val="020B0604030504040204"/>
    <w:charset w:val="00"/>
    <w:family w:val="swiss"/>
    <w:pitch w:val="variable"/>
    <w:sig w:usb0="E1002EFF" w:usb1="C000605B" w:usb2="00000029" w:usb3="00000000" w:csb0="000101FF" w:csb1="00000000"/>
  </w:font>
  <w:font w:name="IRANSans">
    <w:panose1 w:val="020B0506030804020204"/>
    <w:charset w:val="00"/>
    <w:family w:val="swiss"/>
    <w:pitch w:val="variable"/>
    <w:sig w:usb0="80002003" w:usb1="00000000" w:usb2="00000008" w:usb3="00000000" w:csb0="0000004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bidiVisual/>
      <w:tblW w:w="0" w:type="auto"/>
      <w:tblLook w:val="04A0" w:firstRow="1" w:lastRow="0" w:firstColumn="1" w:lastColumn="0" w:noHBand="0" w:noVBand="1"/>
    </w:tblPr>
    <w:tblGrid>
      <w:gridCol w:w="3382"/>
      <w:gridCol w:w="2252"/>
      <w:gridCol w:w="4786"/>
    </w:tblGrid>
    <w:tr w:rsidR="00783DB9" w:rsidRPr="006D44C1" w14:paraId="265FEFDD" w14:textId="77777777" w:rsidTr="0020241A">
      <w:tc>
        <w:tcPr>
          <w:tcW w:w="3382" w:type="dxa"/>
          <w:tcBorders>
            <w:top w:val="nil"/>
            <w:left w:val="nil"/>
            <w:bottom w:val="nil"/>
            <w:right w:val="nil"/>
          </w:tcBorders>
        </w:tcPr>
        <w:p w14:paraId="07CC9220" w14:textId="77777777" w:rsidR="00783DB9" w:rsidRDefault="00783DB9" w:rsidP="006D44C1">
          <w:pPr>
            <w:pStyle w:val="Footer"/>
            <w:rPr>
              <w:rtl/>
            </w:rPr>
          </w:pPr>
          <w:r w:rsidRPr="006D44C1">
            <w:rPr>
              <w:rFonts w:hint="cs"/>
              <w:color w:val="808080" w:themeColor="background1" w:themeShade="80"/>
              <w:rtl/>
            </w:rPr>
            <w:t>مدرسه فقهی امام محمدباقر علیه السلام</w:t>
          </w:r>
        </w:p>
      </w:tc>
      <w:tc>
        <w:tcPr>
          <w:tcW w:w="2252" w:type="dxa"/>
          <w:tcBorders>
            <w:top w:val="nil"/>
            <w:left w:val="nil"/>
            <w:bottom w:val="nil"/>
            <w:right w:val="nil"/>
          </w:tcBorders>
          <w:vAlign w:val="center"/>
        </w:tcPr>
        <w:p w14:paraId="4E0E9C95" w14:textId="77777777" w:rsidR="00783DB9" w:rsidRDefault="00783DB9" w:rsidP="006D44C1">
          <w:pPr>
            <w:pStyle w:val="Footer"/>
            <w:jc w:val="right"/>
            <w:rPr>
              <w:rtl/>
            </w:rPr>
          </w:pPr>
          <w:r>
            <w:rPr>
              <w:rFonts w:hint="cs"/>
              <w:rtl/>
            </w:rPr>
            <w:t xml:space="preserve">صفحه </w:t>
          </w:r>
          <w:r>
            <w:fldChar w:fldCharType="begin"/>
          </w:r>
          <w:r>
            <w:instrText>PAGE   \* MERGEFORMAT</w:instrText>
          </w:r>
          <w:r>
            <w:fldChar w:fldCharType="separate"/>
          </w:r>
          <w:r w:rsidR="00D67BE3" w:rsidRPr="00D67BE3">
            <w:rPr>
              <w:noProof/>
              <w:rtl/>
              <w:lang w:val="fa-IR"/>
            </w:rPr>
            <w:t>1</w:t>
          </w:r>
          <w:r>
            <w:rPr>
              <w:noProof/>
            </w:rPr>
            <w:fldChar w:fldCharType="end"/>
          </w:r>
        </w:p>
      </w:tc>
      <w:tc>
        <w:tcPr>
          <w:tcW w:w="4786" w:type="dxa"/>
          <w:tcBorders>
            <w:top w:val="nil"/>
            <w:left w:val="nil"/>
            <w:bottom w:val="nil"/>
            <w:right w:val="nil"/>
          </w:tcBorders>
          <w:vAlign w:val="center"/>
        </w:tcPr>
        <w:p w14:paraId="2199DA7F" w14:textId="77777777" w:rsidR="00783DB9" w:rsidRPr="006D44C1" w:rsidRDefault="00783DB9" w:rsidP="001B6799">
          <w:pPr>
            <w:pStyle w:val="Footer"/>
            <w:bidi w:val="0"/>
            <w:rPr>
              <w:color w:val="808080" w:themeColor="background1" w:themeShade="80"/>
              <w:rtl/>
            </w:rPr>
          </w:pPr>
          <w:bookmarkStart w:id="12" w:name="BokAdres"/>
          <w:bookmarkEnd w:id="12"/>
          <w:r>
            <w:rPr>
              <w:color w:val="808080" w:themeColor="background1" w:themeShade="80"/>
            </w:rPr>
            <w:t>U1js1_14020703-001_ga1_mfeb.ir</w:t>
          </w:r>
        </w:p>
      </w:tc>
    </w:tr>
  </w:tbl>
  <w:p w14:paraId="4981ADD4" w14:textId="77777777" w:rsidR="00783DB9" w:rsidRDefault="00783DB9" w:rsidP="00FA5F3D">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FBFA32" w14:textId="77777777" w:rsidR="0092045C" w:rsidRDefault="0092045C" w:rsidP="008B750B">
      <w:pPr>
        <w:spacing w:line="240" w:lineRule="auto"/>
      </w:pPr>
      <w:r>
        <w:separator/>
      </w:r>
    </w:p>
  </w:footnote>
  <w:footnote w:type="continuationSeparator" w:id="0">
    <w:p w14:paraId="2B9C4682" w14:textId="77777777" w:rsidR="0092045C" w:rsidRDefault="0092045C" w:rsidP="008B750B">
      <w:pPr>
        <w:spacing w:line="240" w:lineRule="auto"/>
      </w:pPr>
      <w:r>
        <w:continuationSeparator/>
      </w:r>
    </w:p>
  </w:footnote>
  <w:footnote w:id="1">
    <w:p w14:paraId="4AA56FFA" w14:textId="557DD165" w:rsidR="00783DB9" w:rsidRDefault="00783DB9">
      <w:pPr>
        <w:pStyle w:val="FootnoteText"/>
      </w:pPr>
      <w:r>
        <w:rPr>
          <w:rStyle w:val="FootnoteReference"/>
        </w:rPr>
        <w:footnoteRef/>
      </w:r>
      <w:r>
        <w:rPr>
          <w:rtl/>
        </w:rPr>
        <w:t xml:space="preserve"> </w:t>
      </w:r>
      <w:r w:rsidRPr="00C45241">
        <w:rPr>
          <w:rtl/>
        </w:rPr>
        <w:t>كفاية الأصول ( طبع آل البيت )، ص: 9</w:t>
      </w:r>
    </w:p>
  </w:footnote>
  <w:footnote w:id="2">
    <w:p w14:paraId="519B161A" w14:textId="70AF9A76" w:rsidR="00783DB9" w:rsidRDefault="00783DB9">
      <w:pPr>
        <w:pStyle w:val="FootnoteText"/>
      </w:pPr>
      <w:r>
        <w:rPr>
          <w:rStyle w:val="FootnoteReference"/>
        </w:rPr>
        <w:footnoteRef/>
      </w:r>
      <w:r>
        <w:rPr>
          <w:rtl/>
        </w:rPr>
        <w:t xml:space="preserve"> </w:t>
      </w:r>
      <w:r>
        <w:rPr>
          <w:rFonts w:hint="cs"/>
          <w:rtl/>
        </w:rPr>
        <w:t xml:space="preserve">البحوث </w:t>
      </w:r>
      <w:r>
        <w:rPr>
          <w:rFonts w:hint="cs"/>
          <w:rtl/>
        </w:rPr>
        <w:t>الاصولیه ج1 ص131</w:t>
      </w:r>
    </w:p>
  </w:footnote>
  <w:footnote w:id="3">
    <w:p w14:paraId="68BE9A38" w14:textId="38FC1FDE" w:rsidR="00783DB9" w:rsidRDefault="00783DB9">
      <w:pPr>
        <w:pStyle w:val="FootnoteText"/>
      </w:pPr>
      <w:r>
        <w:rPr>
          <w:rStyle w:val="FootnoteReference"/>
        </w:rPr>
        <w:footnoteRef/>
      </w:r>
      <w:r>
        <w:rPr>
          <w:rtl/>
        </w:rPr>
        <w:t xml:space="preserve"> </w:t>
      </w:r>
      <w:r w:rsidRPr="001D109E">
        <w:rPr>
          <w:rtl/>
        </w:rPr>
        <w:t xml:space="preserve">الروم :  </w:t>
      </w:r>
      <w:r>
        <w:rPr>
          <w:rFonts w:hint="cs"/>
          <w:rtl/>
        </w:rPr>
        <w:t>2 و 3</w:t>
      </w:r>
    </w:p>
  </w:footnote>
  <w:footnote w:id="4">
    <w:p w14:paraId="5D8093E8" w14:textId="180EEE08" w:rsidR="00783DB9" w:rsidRDefault="00783DB9" w:rsidP="002F3B9F">
      <w:pPr>
        <w:pStyle w:val="FootnoteText"/>
      </w:pPr>
      <w:r>
        <w:rPr>
          <w:rStyle w:val="FootnoteReference"/>
        </w:rPr>
        <w:footnoteRef/>
      </w:r>
      <w:r>
        <w:rPr>
          <w:rtl/>
        </w:rPr>
        <w:t xml:space="preserve"> </w:t>
      </w:r>
      <w:r w:rsidRPr="001D109E">
        <w:rPr>
          <w:rtl/>
        </w:rPr>
        <w:t xml:space="preserve">الروم </w:t>
      </w:r>
      <w:r w:rsidRPr="001D109E">
        <w:rPr>
          <w:rtl/>
        </w:rPr>
        <w:t xml:space="preserve">:  </w:t>
      </w:r>
      <w:r>
        <w:rPr>
          <w:rFonts w:hint="cs"/>
          <w:rtl/>
        </w:rPr>
        <w:t>2</w:t>
      </w:r>
    </w:p>
  </w:footnote>
  <w:footnote w:id="5">
    <w:p w14:paraId="7C0B3E24" w14:textId="4008204B" w:rsidR="00783DB9" w:rsidRDefault="00783DB9" w:rsidP="002F3B9F">
      <w:pPr>
        <w:pStyle w:val="FootnoteText"/>
      </w:pPr>
      <w:r>
        <w:rPr>
          <w:rStyle w:val="FootnoteReference"/>
        </w:rPr>
        <w:footnoteRef/>
      </w:r>
      <w:r>
        <w:rPr>
          <w:rtl/>
        </w:rPr>
        <w:t xml:space="preserve"> </w:t>
      </w:r>
      <w:r w:rsidRPr="001D109E">
        <w:rPr>
          <w:rtl/>
        </w:rPr>
        <w:t xml:space="preserve">الروم :  </w:t>
      </w:r>
      <w:r>
        <w:rPr>
          <w:rFonts w:hint="cs"/>
          <w:rtl/>
        </w:rPr>
        <w:t>3</w:t>
      </w:r>
    </w:p>
  </w:footnote>
  <w:footnote w:id="6">
    <w:p w14:paraId="705B368B" w14:textId="1CEFF88C" w:rsidR="00783DB9" w:rsidRDefault="00783DB9">
      <w:pPr>
        <w:pStyle w:val="FootnoteText"/>
      </w:pPr>
      <w:r>
        <w:rPr>
          <w:rStyle w:val="FootnoteReference"/>
        </w:rPr>
        <w:footnoteRef/>
      </w:r>
      <w:r>
        <w:rPr>
          <w:rtl/>
        </w:rPr>
        <w:t xml:space="preserve"> </w:t>
      </w:r>
      <w:r>
        <w:rPr>
          <w:rFonts w:hint="cs"/>
          <w:rtl/>
        </w:rPr>
        <w:t>البحوث الاصولیه ج1 ص134</w:t>
      </w:r>
    </w:p>
  </w:footnote>
  <w:footnote w:id="7">
    <w:p w14:paraId="5FC77726" w14:textId="38F5EE5A" w:rsidR="00783DB9" w:rsidRDefault="00783DB9">
      <w:pPr>
        <w:pStyle w:val="FootnoteText"/>
      </w:pPr>
      <w:r>
        <w:rPr>
          <w:rStyle w:val="FootnoteReference"/>
        </w:rPr>
        <w:footnoteRef/>
      </w:r>
      <w:r>
        <w:rPr>
          <w:rtl/>
        </w:rPr>
        <w:t xml:space="preserve"> </w:t>
      </w:r>
      <w:r w:rsidRPr="00A22217">
        <w:rPr>
          <w:rtl/>
        </w:rPr>
        <w:t xml:space="preserve">قاعدة </w:t>
      </w:r>
      <w:r w:rsidRPr="00A22217">
        <w:rPr>
          <w:rtl/>
        </w:rPr>
        <w:t>لا ضرر و لا ضرار، ص: 148</w:t>
      </w:r>
    </w:p>
  </w:footnote>
  <w:footnote w:id="8">
    <w:p w14:paraId="38021CC1" w14:textId="16302DAE" w:rsidR="00783DB9" w:rsidRDefault="00783DB9">
      <w:pPr>
        <w:pStyle w:val="FootnoteText"/>
      </w:pPr>
      <w:r>
        <w:rPr>
          <w:rStyle w:val="FootnoteReference"/>
        </w:rPr>
        <w:footnoteRef/>
      </w:r>
      <w:r>
        <w:rPr>
          <w:rtl/>
        </w:rPr>
        <w:t xml:space="preserve"> </w:t>
      </w:r>
      <w:r w:rsidRPr="006C2654">
        <w:rPr>
          <w:rtl/>
        </w:rPr>
        <w:t xml:space="preserve"> </w:t>
      </w:r>
      <w:r w:rsidRPr="006C2654">
        <w:rPr>
          <w:rtl/>
        </w:rPr>
        <w:t xml:space="preserve">يونس </w:t>
      </w:r>
      <w:r w:rsidRPr="006C2654">
        <w:rPr>
          <w:rtl/>
        </w:rPr>
        <w:t>:  35</w:t>
      </w:r>
    </w:p>
  </w:footnote>
  <w:footnote w:id="9">
    <w:p w14:paraId="11E8308B" w14:textId="6A1CAF96" w:rsidR="004168B1" w:rsidRDefault="004168B1">
      <w:pPr>
        <w:pStyle w:val="FootnoteText"/>
      </w:pPr>
      <w:r>
        <w:rPr>
          <w:rStyle w:val="FootnoteReference"/>
        </w:rPr>
        <w:footnoteRef/>
      </w:r>
      <w:r>
        <w:rPr>
          <w:rtl/>
        </w:rPr>
        <w:t xml:space="preserve"> </w:t>
      </w:r>
      <w:r>
        <w:rPr>
          <w:rFonts w:hint="cs"/>
          <w:rtl/>
        </w:rPr>
        <w:t xml:space="preserve">البحوث </w:t>
      </w:r>
      <w:r>
        <w:rPr>
          <w:rFonts w:hint="cs"/>
          <w:rtl/>
        </w:rPr>
        <w:t>الاصولیه ج1 ص131</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118FA6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522B68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EF0375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75FA63D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41CA60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E4C8765A"/>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9FC08CC"/>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68144C22"/>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25EB1D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8B2EED48"/>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DB5CBA"/>
    <w:multiLevelType w:val="hybridMultilevel"/>
    <w:tmpl w:val="43B02C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0341CC6"/>
    <w:multiLevelType w:val="hybridMultilevel"/>
    <w:tmpl w:val="983CDF5C"/>
    <w:lvl w:ilvl="0" w:tplc="3C84F26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87B05D2"/>
    <w:multiLevelType w:val="hybridMultilevel"/>
    <w:tmpl w:val="02D020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25008C8"/>
    <w:multiLevelType w:val="hybridMultilevel"/>
    <w:tmpl w:val="0C4AE3B6"/>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91E2974"/>
    <w:multiLevelType w:val="hybridMultilevel"/>
    <w:tmpl w:val="175CA856"/>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77170EE"/>
    <w:multiLevelType w:val="hybridMultilevel"/>
    <w:tmpl w:val="CE0E74E0"/>
    <w:lvl w:ilvl="0" w:tplc="EB8E26E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778B52A7"/>
    <w:multiLevelType w:val="hybridMultilevel"/>
    <w:tmpl w:val="E954E706"/>
    <w:lvl w:ilvl="0" w:tplc="E38C171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7EFB45E5"/>
    <w:multiLevelType w:val="hybridMultilevel"/>
    <w:tmpl w:val="ED36C3C4"/>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13528327">
    <w:abstractNumId w:val="8"/>
  </w:num>
  <w:num w:numId="2" w16cid:durableId="1111245855">
    <w:abstractNumId w:val="3"/>
  </w:num>
  <w:num w:numId="3" w16cid:durableId="55594142">
    <w:abstractNumId w:val="2"/>
  </w:num>
  <w:num w:numId="4" w16cid:durableId="1264338313">
    <w:abstractNumId w:val="1"/>
  </w:num>
  <w:num w:numId="5" w16cid:durableId="2006665651">
    <w:abstractNumId w:val="0"/>
  </w:num>
  <w:num w:numId="6" w16cid:durableId="1371344240">
    <w:abstractNumId w:val="9"/>
  </w:num>
  <w:num w:numId="7" w16cid:durableId="1626276814">
    <w:abstractNumId w:val="7"/>
  </w:num>
  <w:num w:numId="8" w16cid:durableId="306251150">
    <w:abstractNumId w:val="6"/>
  </w:num>
  <w:num w:numId="9" w16cid:durableId="1184056760">
    <w:abstractNumId w:val="5"/>
  </w:num>
  <w:num w:numId="10" w16cid:durableId="1806967843">
    <w:abstractNumId w:val="4"/>
  </w:num>
  <w:num w:numId="11" w16cid:durableId="876888340">
    <w:abstractNumId w:val="10"/>
  </w:num>
  <w:num w:numId="12" w16cid:durableId="614799500">
    <w:abstractNumId w:val="12"/>
  </w:num>
  <w:num w:numId="13" w16cid:durableId="88746502">
    <w:abstractNumId w:val="17"/>
  </w:num>
  <w:num w:numId="14" w16cid:durableId="2026054038">
    <w:abstractNumId w:val="13"/>
  </w:num>
  <w:num w:numId="15" w16cid:durableId="197594382">
    <w:abstractNumId w:val="14"/>
  </w:num>
  <w:num w:numId="16" w16cid:durableId="1666010372">
    <w:abstractNumId w:val="11"/>
  </w:num>
  <w:num w:numId="17" w16cid:durableId="2096894886">
    <w:abstractNumId w:val="16"/>
  </w:num>
  <w:num w:numId="18" w16cid:durableId="648899692">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saveSubsetFonts/>
  <w:proofState w:spelling="clean" w:grammar="clean"/>
  <w:attachedTemplate r:id="rId1"/>
  <w:stylePaneSortMethod w:val="0000"/>
  <w:defaultTabStop w:val="720"/>
  <w:characterSpacingControl w:val="doNotCompress"/>
  <w:hdrShapeDefaults>
    <o:shapedefaults v:ext="edit" spidmax="6145"/>
  </w:hdrShapeDefaults>
  <w:footnotePr>
    <w:numRestart w:val="eachPage"/>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E3D7D"/>
    <w:rsid w:val="00000F4E"/>
    <w:rsid w:val="00006E1C"/>
    <w:rsid w:val="000072A3"/>
    <w:rsid w:val="00025777"/>
    <w:rsid w:val="00025B70"/>
    <w:rsid w:val="000353D7"/>
    <w:rsid w:val="00055496"/>
    <w:rsid w:val="00080A41"/>
    <w:rsid w:val="0008299B"/>
    <w:rsid w:val="000913AA"/>
    <w:rsid w:val="00094847"/>
    <w:rsid w:val="00096C63"/>
    <w:rsid w:val="000B5DB5"/>
    <w:rsid w:val="000C3947"/>
    <w:rsid w:val="000D2A37"/>
    <w:rsid w:val="000D30E9"/>
    <w:rsid w:val="000D6818"/>
    <w:rsid w:val="000E335E"/>
    <w:rsid w:val="000F16CF"/>
    <w:rsid w:val="000F5BAC"/>
    <w:rsid w:val="00102585"/>
    <w:rsid w:val="00114AB7"/>
    <w:rsid w:val="00116B2B"/>
    <w:rsid w:val="00124E3D"/>
    <w:rsid w:val="00127E95"/>
    <w:rsid w:val="00130659"/>
    <w:rsid w:val="001347C7"/>
    <w:rsid w:val="001356B0"/>
    <w:rsid w:val="00151937"/>
    <w:rsid w:val="00181844"/>
    <w:rsid w:val="001837E9"/>
    <w:rsid w:val="00187DFA"/>
    <w:rsid w:val="00196F18"/>
    <w:rsid w:val="001A1BC1"/>
    <w:rsid w:val="001A1EA5"/>
    <w:rsid w:val="001A2574"/>
    <w:rsid w:val="001A27D7"/>
    <w:rsid w:val="001A294E"/>
    <w:rsid w:val="001A4ED8"/>
    <w:rsid w:val="001B2488"/>
    <w:rsid w:val="001B6799"/>
    <w:rsid w:val="001C1362"/>
    <w:rsid w:val="001D109E"/>
    <w:rsid w:val="001D2E9A"/>
    <w:rsid w:val="001D597F"/>
    <w:rsid w:val="001E3FD4"/>
    <w:rsid w:val="001F768C"/>
    <w:rsid w:val="0020241A"/>
    <w:rsid w:val="00203821"/>
    <w:rsid w:val="00211632"/>
    <w:rsid w:val="0021630D"/>
    <w:rsid w:val="0024121B"/>
    <w:rsid w:val="00247D2F"/>
    <w:rsid w:val="00256560"/>
    <w:rsid w:val="0027605E"/>
    <w:rsid w:val="00281E00"/>
    <w:rsid w:val="00294A52"/>
    <w:rsid w:val="002A707E"/>
    <w:rsid w:val="002B575F"/>
    <w:rsid w:val="002B729B"/>
    <w:rsid w:val="002C23B5"/>
    <w:rsid w:val="002C53A2"/>
    <w:rsid w:val="002D0040"/>
    <w:rsid w:val="002D2FA8"/>
    <w:rsid w:val="002E220F"/>
    <w:rsid w:val="002F3B9F"/>
    <w:rsid w:val="00307311"/>
    <w:rsid w:val="0032100F"/>
    <w:rsid w:val="0033402C"/>
    <w:rsid w:val="00340521"/>
    <w:rsid w:val="00345C73"/>
    <w:rsid w:val="00354A99"/>
    <w:rsid w:val="00360311"/>
    <w:rsid w:val="00361922"/>
    <w:rsid w:val="0037339B"/>
    <w:rsid w:val="00386C11"/>
    <w:rsid w:val="00397466"/>
    <w:rsid w:val="003A6148"/>
    <w:rsid w:val="003C33F6"/>
    <w:rsid w:val="003C3D2E"/>
    <w:rsid w:val="003C43A5"/>
    <w:rsid w:val="003E1C5C"/>
    <w:rsid w:val="003E6650"/>
    <w:rsid w:val="003F5B46"/>
    <w:rsid w:val="00401363"/>
    <w:rsid w:val="00402E47"/>
    <w:rsid w:val="004168B1"/>
    <w:rsid w:val="00425015"/>
    <w:rsid w:val="00430994"/>
    <w:rsid w:val="00441B6D"/>
    <w:rsid w:val="004556EF"/>
    <w:rsid w:val="00462B07"/>
    <w:rsid w:val="00465BD2"/>
    <w:rsid w:val="004715C8"/>
    <w:rsid w:val="00481C31"/>
    <w:rsid w:val="00482FC1"/>
    <w:rsid w:val="00483027"/>
    <w:rsid w:val="004871AA"/>
    <w:rsid w:val="004918D7"/>
    <w:rsid w:val="004926E1"/>
    <w:rsid w:val="004A2FEA"/>
    <w:rsid w:val="004D2DD7"/>
    <w:rsid w:val="004D437D"/>
    <w:rsid w:val="004D75C5"/>
    <w:rsid w:val="004E2186"/>
    <w:rsid w:val="004E66FB"/>
    <w:rsid w:val="004F470A"/>
    <w:rsid w:val="004F4C59"/>
    <w:rsid w:val="00500C8F"/>
    <w:rsid w:val="00501909"/>
    <w:rsid w:val="00507BBB"/>
    <w:rsid w:val="005128DF"/>
    <w:rsid w:val="0051592A"/>
    <w:rsid w:val="005206FE"/>
    <w:rsid w:val="005257ED"/>
    <w:rsid w:val="005306F8"/>
    <w:rsid w:val="0054023D"/>
    <w:rsid w:val="005426BF"/>
    <w:rsid w:val="0056213C"/>
    <w:rsid w:val="00570313"/>
    <w:rsid w:val="00580C24"/>
    <w:rsid w:val="00581DBA"/>
    <w:rsid w:val="005968EF"/>
    <w:rsid w:val="00596C1E"/>
    <w:rsid w:val="005A2E26"/>
    <w:rsid w:val="005B0A3F"/>
    <w:rsid w:val="005B7BCA"/>
    <w:rsid w:val="005C0DAE"/>
    <w:rsid w:val="005C188E"/>
    <w:rsid w:val="005D1BB8"/>
    <w:rsid w:val="005D2349"/>
    <w:rsid w:val="005E1B60"/>
    <w:rsid w:val="005E5507"/>
    <w:rsid w:val="005E607B"/>
    <w:rsid w:val="005F0A8D"/>
    <w:rsid w:val="00601229"/>
    <w:rsid w:val="00603B67"/>
    <w:rsid w:val="006162A2"/>
    <w:rsid w:val="006240DA"/>
    <w:rsid w:val="0063256E"/>
    <w:rsid w:val="00633F04"/>
    <w:rsid w:val="00635219"/>
    <w:rsid w:val="00635EC0"/>
    <w:rsid w:val="00640B58"/>
    <w:rsid w:val="00651B02"/>
    <w:rsid w:val="00651B19"/>
    <w:rsid w:val="00660A29"/>
    <w:rsid w:val="00660EDA"/>
    <w:rsid w:val="00667966"/>
    <w:rsid w:val="006915E1"/>
    <w:rsid w:val="00695519"/>
    <w:rsid w:val="006A4134"/>
    <w:rsid w:val="006A5DDA"/>
    <w:rsid w:val="006A6701"/>
    <w:rsid w:val="006B21F4"/>
    <w:rsid w:val="006B3753"/>
    <w:rsid w:val="006B7AD6"/>
    <w:rsid w:val="006C2654"/>
    <w:rsid w:val="006C50FD"/>
    <w:rsid w:val="006D1DD4"/>
    <w:rsid w:val="006D4014"/>
    <w:rsid w:val="006D44C1"/>
    <w:rsid w:val="006E5651"/>
    <w:rsid w:val="006E5B85"/>
    <w:rsid w:val="006F026A"/>
    <w:rsid w:val="0070265B"/>
    <w:rsid w:val="00704813"/>
    <w:rsid w:val="0072290D"/>
    <w:rsid w:val="00723D6D"/>
    <w:rsid w:val="00724537"/>
    <w:rsid w:val="00731724"/>
    <w:rsid w:val="0073474B"/>
    <w:rsid w:val="00735511"/>
    <w:rsid w:val="00737208"/>
    <w:rsid w:val="00744DE6"/>
    <w:rsid w:val="00762452"/>
    <w:rsid w:val="007639E0"/>
    <w:rsid w:val="00775507"/>
    <w:rsid w:val="00783473"/>
    <w:rsid w:val="00783DB9"/>
    <w:rsid w:val="0078594B"/>
    <w:rsid w:val="00795E02"/>
    <w:rsid w:val="007979D0"/>
    <w:rsid w:val="007A4E18"/>
    <w:rsid w:val="007A7B8C"/>
    <w:rsid w:val="007C6D9E"/>
    <w:rsid w:val="007D1C43"/>
    <w:rsid w:val="007D6C53"/>
    <w:rsid w:val="007E1564"/>
    <w:rsid w:val="007E1E87"/>
    <w:rsid w:val="007E5B3F"/>
    <w:rsid w:val="007E7347"/>
    <w:rsid w:val="007F2257"/>
    <w:rsid w:val="0080091D"/>
    <w:rsid w:val="00804108"/>
    <w:rsid w:val="00804FC4"/>
    <w:rsid w:val="00816367"/>
    <w:rsid w:val="00816A0B"/>
    <w:rsid w:val="00824B22"/>
    <w:rsid w:val="00830C53"/>
    <w:rsid w:val="00837FAA"/>
    <w:rsid w:val="00841F77"/>
    <w:rsid w:val="0085276D"/>
    <w:rsid w:val="00863390"/>
    <w:rsid w:val="0086385C"/>
    <w:rsid w:val="00871916"/>
    <w:rsid w:val="008956DD"/>
    <w:rsid w:val="008A510E"/>
    <w:rsid w:val="008A522A"/>
    <w:rsid w:val="008B4464"/>
    <w:rsid w:val="008B750B"/>
    <w:rsid w:val="008C3162"/>
    <w:rsid w:val="008D1F14"/>
    <w:rsid w:val="008E3924"/>
    <w:rsid w:val="008F13F7"/>
    <w:rsid w:val="008F5B4D"/>
    <w:rsid w:val="00907425"/>
    <w:rsid w:val="0092045C"/>
    <w:rsid w:val="00923C34"/>
    <w:rsid w:val="00924152"/>
    <w:rsid w:val="0092513D"/>
    <w:rsid w:val="00927A9F"/>
    <w:rsid w:val="009335CC"/>
    <w:rsid w:val="00935A55"/>
    <w:rsid w:val="00941CEB"/>
    <w:rsid w:val="0094720F"/>
    <w:rsid w:val="00953B28"/>
    <w:rsid w:val="00954322"/>
    <w:rsid w:val="009547A9"/>
    <w:rsid w:val="00957CAA"/>
    <w:rsid w:val="0096778A"/>
    <w:rsid w:val="00977656"/>
    <w:rsid w:val="009846A7"/>
    <w:rsid w:val="0098794D"/>
    <w:rsid w:val="0099497B"/>
    <w:rsid w:val="009A43BA"/>
    <w:rsid w:val="009B0D05"/>
    <w:rsid w:val="009B4CA6"/>
    <w:rsid w:val="009B79F8"/>
    <w:rsid w:val="009C66D5"/>
    <w:rsid w:val="009D13FD"/>
    <w:rsid w:val="009D266A"/>
    <w:rsid w:val="009E0DE1"/>
    <w:rsid w:val="009F7E07"/>
    <w:rsid w:val="00A01522"/>
    <w:rsid w:val="00A10A11"/>
    <w:rsid w:val="00A13C6A"/>
    <w:rsid w:val="00A17B09"/>
    <w:rsid w:val="00A22217"/>
    <w:rsid w:val="00A457C6"/>
    <w:rsid w:val="00A46AD0"/>
    <w:rsid w:val="00A47063"/>
    <w:rsid w:val="00A473A8"/>
    <w:rsid w:val="00A506AD"/>
    <w:rsid w:val="00A513F0"/>
    <w:rsid w:val="00A61AC8"/>
    <w:rsid w:val="00A6366F"/>
    <w:rsid w:val="00A65D4C"/>
    <w:rsid w:val="00A70512"/>
    <w:rsid w:val="00AA1F60"/>
    <w:rsid w:val="00AA40D7"/>
    <w:rsid w:val="00AB5F7D"/>
    <w:rsid w:val="00AC0C50"/>
    <w:rsid w:val="00AC6FE2"/>
    <w:rsid w:val="00AF3925"/>
    <w:rsid w:val="00AF4975"/>
    <w:rsid w:val="00B030B0"/>
    <w:rsid w:val="00B1296B"/>
    <w:rsid w:val="00B2292F"/>
    <w:rsid w:val="00B43169"/>
    <w:rsid w:val="00B501A8"/>
    <w:rsid w:val="00B55AE4"/>
    <w:rsid w:val="00B70B46"/>
    <w:rsid w:val="00B739B0"/>
    <w:rsid w:val="00B814A3"/>
    <w:rsid w:val="00B96F38"/>
    <w:rsid w:val="00BC716B"/>
    <w:rsid w:val="00BD0E74"/>
    <w:rsid w:val="00BD5F8C"/>
    <w:rsid w:val="00BE29DD"/>
    <w:rsid w:val="00C066AF"/>
    <w:rsid w:val="00C10DFE"/>
    <w:rsid w:val="00C10E06"/>
    <w:rsid w:val="00C145B8"/>
    <w:rsid w:val="00C2438F"/>
    <w:rsid w:val="00C31AF0"/>
    <w:rsid w:val="00C32A7E"/>
    <w:rsid w:val="00C34F28"/>
    <w:rsid w:val="00C368DF"/>
    <w:rsid w:val="00C442C5"/>
    <w:rsid w:val="00C45241"/>
    <w:rsid w:val="00C57B5C"/>
    <w:rsid w:val="00C57C7C"/>
    <w:rsid w:val="00C61049"/>
    <w:rsid w:val="00C63FFE"/>
    <w:rsid w:val="00C91EB6"/>
    <w:rsid w:val="00CA10B0"/>
    <w:rsid w:val="00CA2F8E"/>
    <w:rsid w:val="00CA3EE2"/>
    <w:rsid w:val="00CA7FD5"/>
    <w:rsid w:val="00CB3287"/>
    <w:rsid w:val="00CB33E2"/>
    <w:rsid w:val="00CB4E68"/>
    <w:rsid w:val="00CC2733"/>
    <w:rsid w:val="00CD0050"/>
    <w:rsid w:val="00CD73E0"/>
    <w:rsid w:val="00CE7481"/>
    <w:rsid w:val="00CF0A8F"/>
    <w:rsid w:val="00D048CE"/>
    <w:rsid w:val="00D10998"/>
    <w:rsid w:val="00D15CBD"/>
    <w:rsid w:val="00D221CB"/>
    <w:rsid w:val="00D23391"/>
    <w:rsid w:val="00D31805"/>
    <w:rsid w:val="00D552B9"/>
    <w:rsid w:val="00D67BE3"/>
    <w:rsid w:val="00D735B2"/>
    <w:rsid w:val="00D74021"/>
    <w:rsid w:val="00D76D01"/>
    <w:rsid w:val="00D922A9"/>
    <w:rsid w:val="00D9394A"/>
    <w:rsid w:val="00DB0CBB"/>
    <w:rsid w:val="00DB67CC"/>
    <w:rsid w:val="00DC3783"/>
    <w:rsid w:val="00DE0A60"/>
    <w:rsid w:val="00DE1070"/>
    <w:rsid w:val="00E00219"/>
    <w:rsid w:val="00E0316B"/>
    <w:rsid w:val="00E25E10"/>
    <w:rsid w:val="00E50B41"/>
    <w:rsid w:val="00E5219B"/>
    <w:rsid w:val="00E52D07"/>
    <w:rsid w:val="00E5518B"/>
    <w:rsid w:val="00E609FE"/>
    <w:rsid w:val="00E630BE"/>
    <w:rsid w:val="00E75920"/>
    <w:rsid w:val="00E80D96"/>
    <w:rsid w:val="00E871FA"/>
    <w:rsid w:val="00E936A4"/>
    <w:rsid w:val="00E954BB"/>
    <w:rsid w:val="00EA45E7"/>
    <w:rsid w:val="00EB78E3"/>
    <w:rsid w:val="00EB7BE3"/>
    <w:rsid w:val="00EC1C4B"/>
    <w:rsid w:val="00EC388B"/>
    <w:rsid w:val="00EC735A"/>
    <w:rsid w:val="00ED5F38"/>
    <w:rsid w:val="00EF0E8F"/>
    <w:rsid w:val="00EF27FE"/>
    <w:rsid w:val="00F07FB6"/>
    <w:rsid w:val="00F149D0"/>
    <w:rsid w:val="00F16B53"/>
    <w:rsid w:val="00F25ECD"/>
    <w:rsid w:val="00F318BE"/>
    <w:rsid w:val="00F33297"/>
    <w:rsid w:val="00F343FB"/>
    <w:rsid w:val="00F359FE"/>
    <w:rsid w:val="00F42159"/>
    <w:rsid w:val="00F4256E"/>
    <w:rsid w:val="00F42EE1"/>
    <w:rsid w:val="00F54077"/>
    <w:rsid w:val="00F60F1F"/>
    <w:rsid w:val="00F64141"/>
    <w:rsid w:val="00F67508"/>
    <w:rsid w:val="00F71FC9"/>
    <w:rsid w:val="00F73B48"/>
    <w:rsid w:val="00F74F51"/>
    <w:rsid w:val="00F842AD"/>
    <w:rsid w:val="00F914EB"/>
    <w:rsid w:val="00F91B85"/>
    <w:rsid w:val="00F938E7"/>
    <w:rsid w:val="00FA3B17"/>
    <w:rsid w:val="00FA5E8D"/>
    <w:rsid w:val="00FA5F3D"/>
    <w:rsid w:val="00FB399E"/>
    <w:rsid w:val="00FB7F50"/>
    <w:rsid w:val="00FC2A85"/>
    <w:rsid w:val="00FC40AF"/>
    <w:rsid w:val="00FC73B9"/>
    <w:rsid w:val="00FD0A16"/>
    <w:rsid w:val="00FD449E"/>
    <w:rsid w:val="00FD5733"/>
    <w:rsid w:val="00FE3D7D"/>
    <w:rsid w:val="00FE6DCF"/>
    <w:rsid w:val="00FF6BC0"/>
    <w:rsid w:val="00FF7FB7"/>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744B8898"/>
  <w15:docId w15:val="{79ED2FB3-8E69-47E5-AA23-A2EFD6DE25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Arial"/>
        <w:lang w:val="en-US" w:eastAsia="en-US" w:bidi="fa-IR"/>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0091D"/>
    <w:pPr>
      <w:bidi/>
      <w:spacing w:line="276" w:lineRule="auto"/>
    </w:pPr>
    <w:rPr>
      <w:rFonts w:cs="B Badr"/>
      <w:sz w:val="22"/>
      <w:szCs w:val="28"/>
    </w:rPr>
  </w:style>
  <w:style w:type="paragraph" w:styleId="Heading1">
    <w:name w:val="heading 1"/>
    <w:basedOn w:val="Normal"/>
    <w:next w:val="Normal"/>
    <w:link w:val="Heading1Char"/>
    <w:autoRedefine/>
    <w:uiPriority w:val="9"/>
    <w:qFormat/>
    <w:rsid w:val="00C31AF0"/>
    <w:pPr>
      <w:keepNext/>
      <w:spacing w:before="120"/>
      <w:outlineLvl w:val="0"/>
    </w:pPr>
    <w:rPr>
      <w:rFonts w:ascii="Cambria" w:eastAsia="Times New Roman" w:hAnsi="Cambria" w:cs="B Titr"/>
      <w:b/>
      <w:bCs/>
      <w:color w:val="0100FF"/>
      <w:kern w:val="32"/>
      <w:sz w:val="32"/>
      <w:szCs w:val="32"/>
    </w:rPr>
  </w:style>
  <w:style w:type="paragraph" w:styleId="Heading2">
    <w:name w:val="heading 2"/>
    <w:basedOn w:val="Normal"/>
    <w:next w:val="Normal"/>
    <w:link w:val="Heading2Char"/>
    <w:autoRedefine/>
    <w:uiPriority w:val="9"/>
    <w:unhideWhenUsed/>
    <w:qFormat/>
    <w:rsid w:val="00BC716B"/>
    <w:pPr>
      <w:keepNext/>
      <w:spacing w:before="240" w:after="60"/>
      <w:outlineLvl w:val="1"/>
    </w:pPr>
    <w:rPr>
      <w:rFonts w:ascii="Cambria" w:eastAsia="Times New Roman" w:hAnsi="Cambria" w:cs="B Titr"/>
      <w:b/>
      <w:bCs/>
      <w:i/>
      <w:color w:val="0000FE"/>
      <w:sz w:val="28"/>
      <w:szCs w:val="30"/>
    </w:rPr>
  </w:style>
  <w:style w:type="paragraph" w:styleId="Heading3">
    <w:name w:val="heading 3"/>
    <w:basedOn w:val="Normal"/>
    <w:next w:val="Normal"/>
    <w:link w:val="Heading3Char"/>
    <w:autoRedefine/>
    <w:uiPriority w:val="9"/>
    <w:unhideWhenUsed/>
    <w:qFormat/>
    <w:rsid w:val="00BC716B"/>
    <w:pPr>
      <w:keepNext/>
      <w:spacing w:before="240" w:after="60"/>
      <w:outlineLvl w:val="2"/>
    </w:pPr>
    <w:rPr>
      <w:rFonts w:ascii="Cambria" w:eastAsia="Times New Roman" w:hAnsi="Cambria" w:cs="B Titr"/>
      <w:b/>
      <w:bCs/>
      <w:color w:val="0000FD"/>
      <w:sz w:val="26"/>
    </w:rPr>
  </w:style>
  <w:style w:type="paragraph" w:styleId="Heading4">
    <w:name w:val="heading 4"/>
    <w:basedOn w:val="Normal"/>
    <w:next w:val="Normal"/>
    <w:link w:val="Heading4Char"/>
    <w:autoRedefine/>
    <w:uiPriority w:val="9"/>
    <w:unhideWhenUsed/>
    <w:qFormat/>
    <w:rsid w:val="00BC716B"/>
    <w:pPr>
      <w:keepNext/>
      <w:spacing w:before="240" w:after="60"/>
      <w:outlineLvl w:val="3"/>
    </w:pPr>
    <w:rPr>
      <w:rFonts w:eastAsia="Times New Roman" w:cs="B Titr"/>
      <w:b/>
      <w:bCs/>
      <w:color w:val="0000FC"/>
      <w:sz w:val="28"/>
      <w:szCs w:val="26"/>
    </w:rPr>
  </w:style>
  <w:style w:type="paragraph" w:styleId="Heading5">
    <w:name w:val="heading 5"/>
    <w:basedOn w:val="Normal"/>
    <w:next w:val="Normal"/>
    <w:link w:val="Heading5Char"/>
    <w:autoRedefine/>
    <w:uiPriority w:val="9"/>
    <w:unhideWhenUsed/>
    <w:qFormat/>
    <w:rsid w:val="00BC716B"/>
    <w:pPr>
      <w:keepNext/>
      <w:spacing w:before="240" w:after="60"/>
      <w:outlineLvl w:val="4"/>
    </w:pPr>
    <w:rPr>
      <w:rFonts w:eastAsia="Times New Roman" w:cs="B Titr"/>
      <w:b/>
      <w:bCs/>
      <w:i/>
      <w:color w:val="0000FB"/>
      <w:sz w:val="26"/>
      <w:szCs w:val="24"/>
    </w:rPr>
  </w:style>
  <w:style w:type="paragraph" w:styleId="Heading6">
    <w:name w:val="heading 6"/>
    <w:basedOn w:val="Normal"/>
    <w:next w:val="Normal"/>
    <w:link w:val="Heading6Char"/>
    <w:autoRedefine/>
    <w:uiPriority w:val="9"/>
    <w:unhideWhenUsed/>
    <w:qFormat/>
    <w:rsid w:val="00BC716B"/>
    <w:pPr>
      <w:keepNext/>
      <w:spacing w:before="240" w:after="60"/>
      <w:outlineLvl w:val="5"/>
    </w:pPr>
    <w:rPr>
      <w:rFonts w:eastAsia="Times New Roman" w:cs="B Titr"/>
      <w:b/>
      <w:bCs/>
      <w:color w:val="0000FA"/>
      <w:szCs w:val="24"/>
    </w:rPr>
  </w:style>
  <w:style w:type="paragraph" w:styleId="Heading7">
    <w:name w:val="heading 7"/>
    <w:basedOn w:val="Normal"/>
    <w:next w:val="Normal"/>
    <w:link w:val="Heading7Char"/>
    <w:autoRedefine/>
    <w:uiPriority w:val="9"/>
    <w:unhideWhenUsed/>
    <w:qFormat/>
    <w:rsid w:val="00BC716B"/>
    <w:pPr>
      <w:keepNext/>
      <w:spacing w:before="240" w:after="60"/>
      <w:outlineLvl w:val="6"/>
    </w:pPr>
    <w:rPr>
      <w:rFonts w:eastAsia="Times New Roman" w:cs="B Titr"/>
      <w:bCs/>
      <w:color w:val="0000F9"/>
      <w:sz w:val="24"/>
      <w:szCs w:val="24"/>
    </w:rPr>
  </w:style>
  <w:style w:type="paragraph" w:styleId="Heading8">
    <w:name w:val="heading 8"/>
    <w:basedOn w:val="Normal"/>
    <w:next w:val="Normal"/>
    <w:link w:val="Heading8Char"/>
    <w:autoRedefine/>
    <w:uiPriority w:val="9"/>
    <w:unhideWhenUsed/>
    <w:qFormat/>
    <w:rsid w:val="00BC716B"/>
    <w:pPr>
      <w:keepNext/>
      <w:spacing w:before="240" w:after="60" w:line="240" w:lineRule="auto"/>
      <w:outlineLvl w:val="7"/>
    </w:pPr>
    <w:rPr>
      <w:rFonts w:eastAsia="Times New Roman" w:cs="B Titr"/>
      <w:bCs/>
      <w:i/>
      <w:color w:val="0000F8"/>
      <w:sz w:val="24"/>
      <w:szCs w:val="24"/>
    </w:rPr>
  </w:style>
  <w:style w:type="paragraph" w:styleId="Heading9">
    <w:name w:val="heading 9"/>
    <w:basedOn w:val="Normal"/>
    <w:next w:val="Normal"/>
    <w:link w:val="Heading9Char"/>
    <w:autoRedefine/>
    <w:uiPriority w:val="9"/>
    <w:unhideWhenUsed/>
    <w:qFormat/>
    <w:rsid w:val="00BC716B"/>
    <w:pPr>
      <w:keepNext/>
      <w:spacing w:before="240" w:after="60"/>
      <w:outlineLvl w:val="8"/>
    </w:pPr>
    <w:rPr>
      <w:rFonts w:ascii="Cambria" w:eastAsia="Times New Roman" w:hAnsi="Cambria" w:cs="B Titr"/>
      <w:bCs/>
      <w:color w:val="0000F7"/>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C31AF0"/>
    <w:rPr>
      <w:rFonts w:ascii="Cambria" w:eastAsia="Times New Roman" w:hAnsi="Cambria" w:cs="B Titr"/>
      <w:b/>
      <w:bCs/>
      <w:color w:val="0100FF"/>
      <w:kern w:val="32"/>
      <w:sz w:val="32"/>
      <w:szCs w:val="32"/>
    </w:rPr>
  </w:style>
  <w:style w:type="character" w:customStyle="1" w:styleId="Heading2Char">
    <w:name w:val="Heading 2 Char"/>
    <w:link w:val="Heading2"/>
    <w:uiPriority w:val="9"/>
    <w:rsid w:val="00BC716B"/>
    <w:rPr>
      <w:rFonts w:ascii="Cambria" w:eastAsia="Times New Roman" w:hAnsi="Cambria" w:cs="B Titr"/>
      <w:b/>
      <w:bCs/>
      <w:i/>
      <w:color w:val="0000FE"/>
      <w:sz w:val="28"/>
      <w:szCs w:val="30"/>
    </w:rPr>
  </w:style>
  <w:style w:type="character" w:customStyle="1" w:styleId="Heading3Char">
    <w:name w:val="Heading 3 Char"/>
    <w:link w:val="Heading3"/>
    <w:uiPriority w:val="9"/>
    <w:rsid w:val="00BC716B"/>
    <w:rPr>
      <w:rFonts w:ascii="Cambria" w:eastAsia="Times New Roman" w:hAnsi="Cambria" w:cs="B Titr"/>
      <w:b/>
      <w:bCs/>
      <w:color w:val="0000FD"/>
      <w:sz w:val="26"/>
      <w:szCs w:val="28"/>
    </w:rPr>
  </w:style>
  <w:style w:type="character" w:customStyle="1" w:styleId="Heading4Char">
    <w:name w:val="Heading 4 Char"/>
    <w:link w:val="Heading4"/>
    <w:uiPriority w:val="9"/>
    <w:rsid w:val="00BC716B"/>
    <w:rPr>
      <w:rFonts w:eastAsia="Times New Roman" w:cs="B Titr"/>
      <w:b/>
      <w:bCs/>
      <w:color w:val="0000FC"/>
      <w:sz w:val="28"/>
      <w:szCs w:val="26"/>
    </w:rPr>
  </w:style>
  <w:style w:type="character" w:customStyle="1" w:styleId="Heading5Char">
    <w:name w:val="Heading 5 Char"/>
    <w:link w:val="Heading5"/>
    <w:uiPriority w:val="9"/>
    <w:rsid w:val="00BC716B"/>
    <w:rPr>
      <w:rFonts w:eastAsia="Times New Roman" w:cs="B Titr"/>
      <w:b/>
      <w:bCs/>
      <w:i/>
      <w:color w:val="0000FB"/>
      <w:sz w:val="26"/>
      <w:szCs w:val="24"/>
    </w:rPr>
  </w:style>
  <w:style w:type="character" w:customStyle="1" w:styleId="Heading7Char">
    <w:name w:val="Heading 7 Char"/>
    <w:link w:val="Heading7"/>
    <w:uiPriority w:val="9"/>
    <w:rsid w:val="00BC716B"/>
    <w:rPr>
      <w:rFonts w:eastAsia="Times New Roman" w:cs="B Titr"/>
      <w:bCs/>
      <w:color w:val="0000F9"/>
      <w:sz w:val="24"/>
      <w:szCs w:val="24"/>
    </w:rPr>
  </w:style>
  <w:style w:type="character" w:customStyle="1" w:styleId="Heading6Char">
    <w:name w:val="Heading 6 Char"/>
    <w:link w:val="Heading6"/>
    <w:uiPriority w:val="9"/>
    <w:rsid w:val="00BC716B"/>
    <w:rPr>
      <w:rFonts w:eastAsia="Times New Roman" w:cs="B Titr"/>
      <w:b/>
      <w:bCs/>
      <w:color w:val="0000FA"/>
      <w:sz w:val="22"/>
      <w:szCs w:val="24"/>
    </w:rPr>
  </w:style>
  <w:style w:type="character" w:customStyle="1" w:styleId="Heading8Char">
    <w:name w:val="Heading 8 Char"/>
    <w:link w:val="Heading8"/>
    <w:uiPriority w:val="9"/>
    <w:rsid w:val="00BC716B"/>
    <w:rPr>
      <w:rFonts w:eastAsia="Times New Roman" w:cs="B Titr"/>
      <w:bCs/>
      <w:i/>
      <w:color w:val="0000F8"/>
      <w:sz w:val="24"/>
      <w:szCs w:val="24"/>
    </w:rPr>
  </w:style>
  <w:style w:type="character" w:customStyle="1" w:styleId="Heading9Char">
    <w:name w:val="Heading 9 Char"/>
    <w:link w:val="Heading9"/>
    <w:uiPriority w:val="9"/>
    <w:rsid w:val="00BC716B"/>
    <w:rPr>
      <w:rFonts w:ascii="Cambria" w:eastAsia="Times New Roman" w:hAnsi="Cambria" w:cs="B Titr"/>
      <w:bCs/>
      <w:color w:val="0000F7"/>
      <w:sz w:val="22"/>
      <w:szCs w:val="24"/>
    </w:rPr>
  </w:style>
  <w:style w:type="paragraph" w:styleId="Header">
    <w:name w:val="header"/>
    <w:basedOn w:val="Normal"/>
    <w:link w:val="HeaderChar"/>
    <w:uiPriority w:val="99"/>
    <w:unhideWhenUsed/>
    <w:rsid w:val="008B750B"/>
    <w:pPr>
      <w:tabs>
        <w:tab w:val="center" w:pos="4513"/>
        <w:tab w:val="right" w:pos="9026"/>
      </w:tabs>
    </w:pPr>
  </w:style>
  <w:style w:type="character" w:customStyle="1" w:styleId="HeaderChar">
    <w:name w:val="Header Char"/>
    <w:link w:val="Header"/>
    <w:uiPriority w:val="99"/>
    <w:rsid w:val="008B750B"/>
    <w:rPr>
      <w:rFonts w:cs="B Badr"/>
      <w:sz w:val="22"/>
      <w:szCs w:val="28"/>
    </w:rPr>
  </w:style>
  <w:style w:type="paragraph" w:styleId="Footer">
    <w:name w:val="footer"/>
    <w:basedOn w:val="Normal"/>
    <w:link w:val="FooterChar"/>
    <w:uiPriority w:val="99"/>
    <w:unhideWhenUsed/>
    <w:rsid w:val="008B750B"/>
    <w:pPr>
      <w:tabs>
        <w:tab w:val="center" w:pos="4513"/>
        <w:tab w:val="right" w:pos="9026"/>
      </w:tabs>
    </w:pPr>
  </w:style>
  <w:style w:type="character" w:customStyle="1" w:styleId="FooterChar">
    <w:name w:val="Footer Char"/>
    <w:link w:val="Footer"/>
    <w:uiPriority w:val="99"/>
    <w:rsid w:val="008B750B"/>
    <w:rPr>
      <w:rFonts w:cs="B Badr"/>
      <w:sz w:val="22"/>
      <w:szCs w:val="28"/>
    </w:rPr>
  </w:style>
  <w:style w:type="paragraph" w:styleId="NormalWeb">
    <w:name w:val="Normal (Web)"/>
    <w:basedOn w:val="Normal"/>
    <w:uiPriority w:val="99"/>
    <w:unhideWhenUsed/>
    <w:rsid w:val="00E5219B"/>
    <w:pPr>
      <w:bidi w:val="0"/>
      <w:spacing w:before="100" w:beforeAutospacing="1" w:after="100" w:afterAutospacing="1" w:line="240" w:lineRule="auto"/>
    </w:pPr>
    <w:rPr>
      <w:rFonts w:ascii="Times New Roman" w:eastAsia="Times New Roman" w:hAnsi="Times New Roman" w:cs="Times New Roman"/>
      <w:sz w:val="24"/>
      <w:szCs w:val="24"/>
    </w:rPr>
  </w:style>
  <w:style w:type="paragraph" w:styleId="FootnoteText">
    <w:name w:val="footnote text"/>
    <w:basedOn w:val="Normal"/>
    <w:link w:val="FootnoteTextChar"/>
    <w:uiPriority w:val="99"/>
    <w:unhideWhenUsed/>
    <w:qFormat/>
    <w:rsid w:val="0099497B"/>
    <w:rPr>
      <w:sz w:val="20"/>
      <w:szCs w:val="20"/>
    </w:rPr>
  </w:style>
  <w:style w:type="character" w:customStyle="1" w:styleId="FootnoteTextChar">
    <w:name w:val="Footnote Text Char"/>
    <w:link w:val="FootnoteText"/>
    <w:uiPriority w:val="99"/>
    <w:rsid w:val="0099497B"/>
    <w:rPr>
      <w:rFonts w:cs="B Lotus"/>
    </w:rPr>
  </w:style>
  <w:style w:type="character" w:styleId="FootnoteReference">
    <w:name w:val="footnote reference"/>
    <w:uiPriority w:val="99"/>
    <w:semiHidden/>
    <w:unhideWhenUsed/>
    <w:qFormat/>
    <w:rsid w:val="00E5219B"/>
    <w:rPr>
      <w:vertAlign w:val="superscript"/>
    </w:rPr>
  </w:style>
  <w:style w:type="paragraph" w:styleId="TOC2">
    <w:name w:val="toc 2"/>
    <w:basedOn w:val="Normal"/>
    <w:next w:val="Normal"/>
    <w:autoRedefine/>
    <w:uiPriority w:val="39"/>
    <w:unhideWhenUsed/>
    <w:rsid w:val="0032100F"/>
    <w:pPr>
      <w:spacing w:line="240" w:lineRule="auto"/>
      <w:ind w:left="221"/>
    </w:pPr>
    <w:rPr>
      <w:rFonts w:cs="B Titr"/>
      <w:bCs/>
      <w:color w:val="632423" w:themeColor="accent2" w:themeShade="80"/>
      <w:szCs w:val="18"/>
    </w:rPr>
  </w:style>
  <w:style w:type="paragraph" w:styleId="TOC3">
    <w:name w:val="toc 3"/>
    <w:basedOn w:val="Normal"/>
    <w:next w:val="Normal"/>
    <w:autoRedefine/>
    <w:uiPriority w:val="39"/>
    <w:unhideWhenUsed/>
    <w:rsid w:val="0092513D"/>
    <w:pPr>
      <w:spacing w:line="240" w:lineRule="auto"/>
      <w:ind w:left="442"/>
    </w:pPr>
    <w:rPr>
      <w:bCs/>
      <w:iCs/>
      <w:color w:val="632423" w:themeColor="accent2" w:themeShade="80"/>
      <w:szCs w:val="24"/>
    </w:rPr>
  </w:style>
  <w:style w:type="paragraph" w:styleId="TOC4">
    <w:name w:val="toc 4"/>
    <w:basedOn w:val="Normal"/>
    <w:next w:val="Normal"/>
    <w:autoRedefine/>
    <w:uiPriority w:val="39"/>
    <w:unhideWhenUsed/>
    <w:rsid w:val="0092513D"/>
    <w:pPr>
      <w:spacing w:line="240" w:lineRule="auto"/>
      <w:ind w:left="658"/>
    </w:pPr>
    <w:rPr>
      <w:bCs/>
      <w:color w:val="632423" w:themeColor="accent2" w:themeShade="80"/>
      <w:szCs w:val="24"/>
    </w:rPr>
  </w:style>
  <w:style w:type="paragraph" w:styleId="TOC5">
    <w:name w:val="toc 5"/>
    <w:basedOn w:val="Normal"/>
    <w:next w:val="Normal"/>
    <w:autoRedefine/>
    <w:uiPriority w:val="39"/>
    <w:unhideWhenUsed/>
    <w:rsid w:val="0092513D"/>
    <w:pPr>
      <w:spacing w:line="240" w:lineRule="auto"/>
      <w:ind w:left="879"/>
    </w:pPr>
    <w:rPr>
      <w:bCs/>
      <w:color w:val="632423" w:themeColor="accent2" w:themeShade="80"/>
      <w:szCs w:val="24"/>
    </w:rPr>
  </w:style>
  <w:style w:type="paragraph" w:styleId="TOC6">
    <w:name w:val="toc 6"/>
    <w:basedOn w:val="Normal"/>
    <w:next w:val="Normal"/>
    <w:autoRedefine/>
    <w:uiPriority w:val="39"/>
    <w:unhideWhenUsed/>
    <w:rsid w:val="0092513D"/>
    <w:pPr>
      <w:spacing w:line="240" w:lineRule="auto"/>
      <w:ind w:left="1100"/>
    </w:pPr>
    <w:rPr>
      <w:bCs/>
      <w:color w:val="632423" w:themeColor="accent2" w:themeShade="80"/>
      <w:szCs w:val="24"/>
    </w:rPr>
  </w:style>
  <w:style w:type="character" w:styleId="Hyperlink">
    <w:name w:val="Hyperlink"/>
    <w:uiPriority w:val="99"/>
    <w:unhideWhenUsed/>
    <w:rsid w:val="00731724"/>
    <w:rPr>
      <w:color w:val="0000FF"/>
      <w:u w:val="single"/>
    </w:rPr>
  </w:style>
  <w:style w:type="character" w:styleId="IntenseEmphasis">
    <w:name w:val="Intense Emphasis"/>
    <w:aliases w:val="متن آیات و روایات"/>
    <w:basedOn w:val="DefaultParagraphFont"/>
    <w:uiPriority w:val="21"/>
    <w:qFormat/>
    <w:rsid w:val="006162A2"/>
    <w:rPr>
      <w:rFonts w:cs="B Badr"/>
      <w:b/>
      <w:bCs w:val="0"/>
      <w:i/>
      <w:iCs w:val="0"/>
      <w:color w:val="008000"/>
      <w:szCs w:val="28"/>
    </w:rPr>
  </w:style>
  <w:style w:type="character" w:styleId="SubtleEmphasis">
    <w:name w:val="Subtle Emphasis"/>
    <w:aliases w:val="متن کتاب محور"/>
    <w:basedOn w:val="DefaultParagraphFont"/>
    <w:uiPriority w:val="19"/>
    <w:qFormat/>
    <w:rsid w:val="006162A2"/>
    <w:rPr>
      <w:rFonts w:cs="B Badr"/>
      <w:bCs w:val="0"/>
      <w:i/>
      <w:iCs w:val="0"/>
      <w:color w:val="0000FF"/>
      <w:szCs w:val="28"/>
    </w:rPr>
  </w:style>
  <w:style w:type="paragraph" w:customStyle="1" w:styleId="2">
    <w:name w:val="نظر سایر علما2"/>
    <w:basedOn w:val="Normal"/>
    <w:qFormat/>
    <w:rsid w:val="006162A2"/>
    <w:rPr>
      <w:color w:val="000080"/>
    </w:rPr>
  </w:style>
  <w:style w:type="paragraph" w:customStyle="1" w:styleId="a">
    <w:name w:val="متن نظر استاد"/>
    <w:basedOn w:val="Normal"/>
    <w:rsid w:val="001B2488"/>
    <w:rPr>
      <w:color w:val="800000"/>
    </w:rPr>
  </w:style>
  <w:style w:type="character" w:styleId="Emphasis">
    <w:name w:val="Emphasis"/>
    <w:aliases w:val="موضوع"/>
    <w:basedOn w:val="DefaultParagraphFont"/>
    <w:uiPriority w:val="20"/>
    <w:qFormat/>
    <w:rsid w:val="00FC73B9"/>
    <w:rPr>
      <w:rFonts w:cs="B Titr"/>
      <w:bCs/>
      <w:i/>
      <w:iCs w:val="0"/>
      <w:color w:val="0101FF"/>
      <w:szCs w:val="28"/>
    </w:rPr>
  </w:style>
  <w:style w:type="paragraph" w:styleId="TOC1">
    <w:name w:val="toc 1"/>
    <w:basedOn w:val="Normal"/>
    <w:next w:val="Normal"/>
    <w:autoRedefine/>
    <w:uiPriority w:val="39"/>
    <w:unhideWhenUsed/>
    <w:rsid w:val="00F64141"/>
    <w:pPr>
      <w:tabs>
        <w:tab w:val="right" w:leader="dot" w:pos="10194"/>
      </w:tabs>
      <w:spacing w:line="240" w:lineRule="auto"/>
    </w:pPr>
    <w:rPr>
      <w:rFonts w:cs="B Titr"/>
      <w:color w:val="632423" w:themeColor="accent2" w:themeShade="80"/>
      <w:szCs w:val="24"/>
    </w:rPr>
  </w:style>
  <w:style w:type="paragraph" w:customStyle="1" w:styleId="a0">
    <w:name w:val="متن فهرست"/>
    <w:basedOn w:val="TOC1"/>
    <w:rsid w:val="00603B67"/>
    <w:rPr>
      <w:bCs/>
      <w:noProof/>
      <w:color w:val="008000"/>
      <w:sz w:val="24"/>
    </w:rPr>
  </w:style>
  <w:style w:type="paragraph" w:styleId="BalloonText">
    <w:name w:val="Balloon Text"/>
    <w:basedOn w:val="Normal"/>
    <w:link w:val="BalloonTextChar"/>
    <w:uiPriority w:val="99"/>
    <w:semiHidden/>
    <w:unhideWhenUsed/>
    <w:rsid w:val="009B79F8"/>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B79F8"/>
    <w:rPr>
      <w:rFonts w:ascii="Tahoma" w:hAnsi="Tahoma" w:cs="Tahoma"/>
      <w:sz w:val="16"/>
      <w:szCs w:val="16"/>
    </w:rPr>
  </w:style>
  <w:style w:type="paragraph" w:styleId="TOC9">
    <w:name w:val="toc 9"/>
    <w:basedOn w:val="Normal"/>
    <w:next w:val="Normal"/>
    <w:autoRedefine/>
    <w:uiPriority w:val="39"/>
    <w:unhideWhenUsed/>
    <w:rsid w:val="00F64141"/>
    <w:pPr>
      <w:spacing w:after="100" w:line="240" w:lineRule="auto"/>
      <w:ind w:left="1758"/>
    </w:pPr>
    <w:rPr>
      <w:color w:val="632423" w:themeColor="accent2" w:themeShade="80"/>
      <w:szCs w:val="24"/>
    </w:rPr>
  </w:style>
  <w:style w:type="paragraph" w:styleId="TOC7">
    <w:name w:val="toc 7"/>
    <w:basedOn w:val="Normal"/>
    <w:next w:val="Normal"/>
    <w:autoRedefine/>
    <w:uiPriority w:val="39"/>
    <w:unhideWhenUsed/>
    <w:rsid w:val="0092513D"/>
    <w:pPr>
      <w:spacing w:line="240" w:lineRule="auto"/>
      <w:ind w:left="1321"/>
    </w:pPr>
    <w:rPr>
      <w:bCs/>
      <w:color w:val="632423" w:themeColor="accent2" w:themeShade="80"/>
      <w:szCs w:val="24"/>
    </w:rPr>
  </w:style>
  <w:style w:type="paragraph" w:styleId="TOC8">
    <w:name w:val="toc 8"/>
    <w:basedOn w:val="Normal"/>
    <w:next w:val="Normal"/>
    <w:autoRedefine/>
    <w:uiPriority w:val="39"/>
    <w:unhideWhenUsed/>
    <w:rsid w:val="00F64141"/>
    <w:pPr>
      <w:spacing w:after="100" w:line="240" w:lineRule="auto"/>
      <w:ind w:left="1542"/>
    </w:pPr>
    <w:rPr>
      <w:color w:val="632423" w:themeColor="accent2" w:themeShade="80"/>
      <w:szCs w:val="24"/>
    </w:rPr>
  </w:style>
  <w:style w:type="paragraph" w:styleId="ListParagraph">
    <w:name w:val="List Paragraph"/>
    <w:basedOn w:val="Normal"/>
    <w:uiPriority w:val="34"/>
    <w:rsid w:val="0092513D"/>
    <w:pPr>
      <w:ind w:left="720"/>
      <w:contextualSpacing/>
    </w:pPr>
    <w:rPr>
      <w:rFonts w:cs="B Lotus"/>
    </w:rPr>
  </w:style>
  <w:style w:type="paragraph" w:styleId="ListBullet">
    <w:name w:val="List Bullet"/>
    <w:basedOn w:val="Normal"/>
    <w:uiPriority w:val="99"/>
    <w:unhideWhenUsed/>
    <w:rsid w:val="00816A0B"/>
    <w:pPr>
      <w:numPr>
        <w:numId w:val="6"/>
      </w:numPr>
      <w:contextualSpacing/>
    </w:pPr>
  </w:style>
  <w:style w:type="paragraph" w:styleId="ListBullet2">
    <w:name w:val="List Bullet 2"/>
    <w:basedOn w:val="Normal"/>
    <w:uiPriority w:val="99"/>
    <w:unhideWhenUsed/>
    <w:rsid w:val="00816A0B"/>
    <w:pPr>
      <w:numPr>
        <w:numId w:val="7"/>
      </w:numPr>
      <w:contextualSpacing/>
    </w:pPr>
  </w:style>
  <w:style w:type="paragraph" w:styleId="ListBullet3">
    <w:name w:val="List Bullet 3"/>
    <w:basedOn w:val="Normal"/>
    <w:uiPriority w:val="99"/>
    <w:semiHidden/>
    <w:unhideWhenUsed/>
    <w:rsid w:val="00E5518B"/>
    <w:pPr>
      <w:numPr>
        <w:numId w:val="8"/>
      </w:numPr>
      <w:contextualSpacing/>
    </w:pPr>
  </w:style>
  <w:style w:type="paragraph" w:styleId="ListBullet4">
    <w:name w:val="List Bullet 4"/>
    <w:basedOn w:val="Normal"/>
    <w:uiPriority w:val="99"/>
    <w:semiHidden/>
    <w:unhideWhenUsed/>
    <w:rsid w:val="00E5518B"/>
    <w:pPr>
      <w:numPr>
        <w:numId w:val="9"/>
      </w:numPr>
      <w:contextualSpacing/>
    </w:pPr>
  </w:style>
  <w:style w:type="paragraph" w:styleId="ListBullet5">
    <w:name w:val="List Bullet 5"/>
    <w:basedOn w:val="Normal"/>
    <w:uiPriority w:val="99"/>
    <w:semiHidden/>
    <w:unhideWhenUsed/>
    <w:rsid w:val="00E5518B"/>
    <w:pPr>
      <w:numPr>
        <w:numId w:val="10"/>
      </w:numPr>
      <w:contextualSpacing/>
    </w:pPr>
  </w:style>
  <w:style w:type="table" w:styleId="TableGrid">
    <w:name w:val="Table Grid"/>
    <w:basedOn w:val="TableNormal"/>
    <w:uiPriority w:val="59"/>
    <w:rsid w:val="00F91B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1">
    <w:name w:val="پاورقي"/>
    <w:basedOn w:val="FootnoteText"/>
    <w:link w:val="a2"/>
    <w:qFormat/>
    <w:rsid w:val="00824B22"/>
  </w:style>
  <w:style w:type="character" w:customStyle="1" w:styleId="a2">
    <w:name w:val="پاورقي نویسه"/>
    <w:basedOn w:val="FootnoteTextChar"/>
    <w:link w:val="a1"/>
    <w:rsid w:val="00824B22"/>
    <w:rPr>
      <w:rFonts w:cs="B Badr"/>
    </w:rPr>
  </w:style>
  <w:style w:type="character" w:customStyle="1" w:styleId="a3">
    <w:name w:val="نظر سایر علما"/>
    <w:basedOn w:val="DefaultParagraphFont"/>
    <w:uiPriority w:val="1"/>
    <w:qFormat/>
    <w:rsid w:val="006D4014"/>
    <w:rPr>
      <w:rFonts w:cs="B Badr"/>
      <w:b/>
      <w:bCs/>
      <w:color w:val="000080"/>
      <w:sz w:val="20"/>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918554">
      <w:bodyDiv w:val="1"/>
      <w:marLeft w:val="0"/>
      <w:marRight w:val="0"/>
      <w:marTop w:val="0"/>
      <w:marBottom w:val="0"/>
      <w:divBdr>
        <w:top w:val="none" w:sz="0" w:space="0" w:color="auto"/>
        <w:left w:val="none" w:sz="0" w:space="0" w:color="auto"/>
        <w:bottom w:val="none" w:sz="0" w:space="0" w:color="auto"/>
        <w:right w:val="none" w:sz="0" w:space="0" w:color="auto"/>
      </w:divBdr>
    </w:div>
    <w:div w:id="87889283">
      <w:bodyDiv w:val="1"/>
      <w:marLeft w:val="0"/>
      <w:marRight w:val="0"/>
      <w:marTop w:val="0"/>
      <w:marBottom w:val="0"/>
      <w:divBdr>
        <w:top w:val="none" w:sz="0" w:space="0" w:color="auto"/>
        <w:left w:val="none" w:sz="0" w:space="0" w:color="auto"/>
        <w:bottom w:val="none" w:sz="0" w:space="0" w:color="auto"/>
        <w:right w:val="none" w:sz="0" w:space="0" w:color="auto"/>
      </w:divBdr>
    </w:div>
    <w:div w:id="114637966">
      <w:bodyDiv w:val="1"/>
      <w:marLeft w:val="0"/>
      <w:marRight w:val="0"/>
      <w:marTop w:val="0"/>
      <w:marBottom w:val="0"/>
      <w:divBdr>
        <w:top w:val="none" w:sz="0" w:space="0" w:color="auto"/>
        <w:left w:val="none" w:sz="0" w:space="0" w:color="auto"/>
        <w:bottom w:val="none" w:sz="0" w:space="0" w:color="auto"/>
        <w:right w:val="none" w:sz="0" w:space="0" w:color="auto"/>
      </w:divBdr>
    </w:div>
    <w:div w:id="117797945">
      <w:bodyDiv w:val="1"/>
      <w:marLeft w:val="0"/>
      <w:marRight w:val="0"/>
      <w:marTop w:val="0"/>
      <w:marBottom w:val="0"/>
      <w:divBdr>
        <w:top w:val="none" w:sz="0" w:space="0" w:color="auto"/>
        <w:left w:val="none" w:sz="0" w:space="0" w:color="auto"/>
        <w:bottom w:val="none" w:sz="0" w:space="0" w:color="auto"/>
        <w:right w:val="none" w:sz="0" w:space="0" w:color="auto"/>
      </w:divBdr>
    </w:div>
    <w:div w:id="152065127">
      <w:bodyDiv w:val="1"/>
      <w:marLeft w:val="0"/>
      <w:marRight w:val="0"/>
      <w:marTop w:val="0"/>
      <w:marBottom w:val="0"/>
      <w:divBdr>
        <w:top w:val="none" w:sz="0" w:space="0" w:color="auto"/>
        <w:left w:val="none" w:sz="0" w:space="0" w:color="auto"/>
        <w:bottom w:val="none" w:sz="0" w:space="0" w:color="auto"/>
        <w:right w:val="none" w:sz="0" w:space="0" w:color="auto"/>
      </w:divBdr>
    </w:div>
    <w:div w:id="221646168">
      <w:bodyDiv w:val="1"/>
      <w:marLeft w:val="0"/>
      <w:marRight w:val="0"/>
      <w:marTop w:val="0"/>
      <w:marBottom w:val="0"/>
      <w:divBdr>
        <w:top w:val="none" w:sz="0" w:space="0" w:color="auto"/>
        <w:left w:val="none" w:sz="0" w:space="0" w:color="auto"/>
        <w:bottom w:val="none" w:sz="0" w:space="0" w:color="auto"/>
        <w:right w:val="none" w:sz="0" w:space="0" w:color="auto"/>
      </w:divBdr>
    </w:div>
    <w:div w:id="266813888">
      <w:bodyDiv w:val="1"/>
      <w:marLeft w:val="0"/>
      <w:marRight w:val="0"/>
      <w:marTop w:val="0"/>
      <w:marBottom w:val="0"/>
      <w:divBdr>
        <w:top w:val="none" w:sz="0" w:space="0" w:color="auto"/>
        <w:left w:val="none" w:sz="0" w:space="0" w:color="auto"/>
        <w:bottom w:val="none" w:sz="0" w:space="0" w:color="auto"/>
        <w:right w:val="none" w:sz="0" w:space="0" w:color="auto"/>
      </w:divBdr>
    </w:div>
    <w:div w:id="304163739">
      <w:bodyDiv w:val="1"/>
      <w:marLeft w:val="0"/>
      <w:marRight w:val="0"/>
      <w:marTop w:val="0"/>
      <w:marBottom w:val="0"/>
      <w:divBdr>
        <w:top w:val="none" w:sz="0" w:space="0" w:color="auto"/>
        <w:left w:val="none" w:sz="0" w:space="0" w:color="auto"/>
        <w:bottom w:val="none" w:sz="0" w:space="0" w:color="auto"/>
        <w:right w:val="none" w:sz="0" w:space="0" w:color="auto"/>
      </w:divBdr>
    </w:div>
    <w:div w:id="474295416">
      <w:bodyDiv w:val="1"/>
      <w:marLeft w:val="0"/>
      <w:marRight w:val="0"/>
      <w:marTop w:val="0"/>
      <w:marBottom w:val="0"/>
      <w:divBdr>
        <w:top w:val="none" w:sz="0" w:space="0" w:color="auto"/>
        <w:left w:val="none" w:sz="0" w:space="0" w:color="auto"/>
        <w:bottom w:val="none" w:sz="0" w:space="0" w:color="auto"/>
        <w:right w:val="none" w:sz="0" w:space="0" w:color="auto"/>
      </w:divBdr>
    </w:div>
    <w:div w:id="510264611">
      <w:bodyDiv w:val="1"/>
      <w:marLeft w:val="0"/>
      <w:marRight w:val="0"/>
      <w:marTop w:val="0"/>
      <w:marBottom w:val="0"/>
      <w:divBdr>
        <w:top w:val="none" w:sz="0" w:space="0" w:color="auto"/>
        <w:left w:val="none" w:sz="0" w:space="0" w:color="auto"/>
        <w:bottom w:val="none" w:sz="0" w:space="0" w:color="auto"/>
        <w:right w:val="none" w:sz="0" w:space="0" w:color="auto"/>
      </w:divBdr>
    </w:div>
    <w:div w:id="613484810">
      <w:bodyDiv w:val="1"/>
      <w:marLeft w:val="0"/>
      <w:marRight w:val="0"/>
      <w:marTop w:val="0"/>
      <w:marBottom w:val="0"/>
      <w:divBdr>
        <w:top w:val="none" w:sz="0" w:space="0" w:color="auto"/>
        <w:left w:val="none" w:sz="0" w:space="0" w:color="auto"/>
        <w:bottom w:val="none" w:sz="0" w:space="0" w:color="auto"/>
        <w:right w:val="none" w:sz="0" w:space="0" w:color="auto"/>
      </w:divBdr>
    </w:div>
    <w:div w:id="807748091">
      <w:bodyDiv w:val="1"/>
      <w:marLeft w:val="0"/>
      <w:marRight w:val="0"/>
      <w:marTop w:val="0"/>
      <w:marBottom w:val="0"/>
      <w:divBdr>
        <w:top w:val="none" w:sz="0" w:space="0" w:color="auto"/>
        <w:left w:val="none" w:sz="0" w:space="0" w:color="auto"/>
        <w:bottom w:val="none" w:sz="0" w:space="0" w:color="auto"/>
        <w:right w:val="none" w:sz="0" w:space="0" w:color="auto"/>
      </w:divBdr>
    </w:div>
    <w:div w:id="1190222858">
      <w:bodyDiv w:val="1"/>
      <w:marLeft w:val="0"/>
      <w:marRight w:val="0"/>
      <w:marTop w:val="0"/>
      <w:marBottom w:val="0"/>
      <w:divBdr>
        <w:top w:val="none" w:sz="0" w:space="0" w:color="auto"/>
        <w:left w:val="none" w:sz="0" w:space="0" w:color="auto"/>
        <w:bottom w:val="none" w:sz="0" w:space="0" w:color="auto"/>
        <w:right w:val="none" w:sz="0" w:space="0" w:color="auto"/>
      </w:divBdr>
    </w:div>
    <w:div w:id="1317879528">
      <w:bodyDiv w:val="1"/>
      <w:marLeft w:val="0"/>
      <w:marRight w:val="0"/>
      <w:marTop w:val="0"/>
      <w:marBottom w:val="0"/>
      <w:divBdr>
        <w:top w:val="none" w:sz="0" w:space="0" w:color="auto"/>
        <w:left w:val="none" w:sz="0" w:space="0" w:color="auto"/>
        <w:bottom w:val="none" w:sz="0" w:space="0" w:color="auto"/>
        <w:right w:val="none" w:sz="0" w:space="0" w:color="auto"/>
      </w:divBdr>
    </w:div>
    <w:div w:id="1352605422">
      <w:bodyDiv w:val="1"/>
      <w:marLeft w:val="0"/>
      <w:marRight w:val="0"/>
      <w:marTop w:val="0"/>
      <w:marBottom w:val="0"/>
      <w:divBdr>
        <w:top w:val="none" w:sz="0" w:space="0" w:color="auto"/>
        <w:left w:val="none" w:sz="0" w:space="0" w:color="auto"/>
        <w:bottom w:val="none" w:sz="0" w:space="0" w:color="auto"/>
        <w:right w:val="none" w:sz="0" w:space="0" w:color="auto"/>
      </w:divBdr>
    </w:div>
    <w:div w:id="1546943542">
      <w:bodyDiv w:val="1"/>
      <w:marLeft w:val="0"/>
      <w:marRight w:val="0"/>
      <w:marTop w:val="0"/>
      <w:marBottom w:val="0"/>
      <w:divBdr>
        <w:top w:val="none" w:sz="0" w:space="0" w:color="auto"/>
        <w:left w:val="none" w:sz="0" w:space="0" w:color="auto"/>
        <w:bottom w:val="none" w:sz="0" w:space="0" w:color="auto"/>
        <w:right w:val="none" w:sz="0" w:space="0" w:color="auto"/>
      </w:divBdr>
    </w:div>
    <w:div w:id="1568612856">
      <w:bodyDiv w:val="1"/>
      <w:marLeft w:val="0"/>
      <w:marRight w:val="0"/>
      <w:marTop w:val="0"/>
      <w:marBottom w:val="0"/>
      <w:divBdr>
        <w:top w:val="none" w:sz="0" w:space="0" w:color="auto"/>
        <w:left w:val="none" w:sz="0" w:space="0" w:color="auto"/>
        <w:bottom w:val="none" w:sz="0" w:space="0" w:color="auto"/>
        <w:right w:val="none" w:sz="0" w:space="0" w:color="auto"/>
      </w:divBdr>
    </w:div>
    <w:div w:id="1753620039">
      <w:bodyDiv w:val="1"/>
      <w:marLeft w:val="0"/>
      <w:marRight w:val="0"/>
      <w:marTop w:val="0"/>
      <w:marBottom w:val="0"/>
      <w:divBdr>
        <w:top w:val="none" w:sz="0" w:space="0" w:color="auto"/>
        <w:left w:val="none" w:sz="0" w:space="0" w:color="auto"/>
        <w:bottom w:val="none" w:sz="0" w:space="0" w:color="auto"/>
        <w:right w:val="none" w:sz="0" w:space="0" w:color="auto"/>
      </w:divBdr>
    </w:div>
    <w:div w:id="1800563462">
      <w:bodyDiv w:val="1"/>
      <w:marLeft w:val="0"/>
      <w:marRight w:val="0"/>
      <w:marTop w:val="0"/>
      <w:marBottom w:val="0"/>
      <w:divBdr>
        <w:top w:val="none" w:sz="0" w:space="0" w:color="auto"/>
        <w:left w:val="none" w:sz="0" w:space="0" w:color="auto"/>
        <w:bottom w:val="none" w:sz="0" w:space="0" w:color="auto"/>
        <w:right w:val="none" w:sz="0" w:space="0" w:color="auto"/>
      </w:divBdr>
    </w:div>
    <w:div w:id="1909607351">
      <w:bodyDiv w:val="1"/>
      <w:marLeft w:val="0"/>
      <w:marRight w:val="0"/>
      <w:marTop w:val="0"/>
      <w:marBottom w:val="0"/>
      <w:divBdr>
        <w:top w:val="none" w:sz="0" w:space="0" w:color="auto"/>
        <w:left w:val="none" w:sz="0" w:space="0" w:color="auto"/>
        <w:bottom w:val="none" w:sz="0" w:space="0" w:color="auto"/>
        <w:right w:val="none" w:sz="0" w:space="0" w:color="auto"/>
      </w:divBdr>
    </w:div>
    <w:div w:id="1948540449">
      <w:bodyDiv w:val="1"/>
      <w:marLeft w:val="0"/>
      <w:marRight w:val="0"/>
      <w:marTop w:val="0"/>
      <w:marBottom w:val="0"/>
      <w:divBdr>
        <w:top w:val="none" w:sz="0" w:space="0" w:color="auto"/>
        <w:left w:val="none" w:sz="0" w:space="0" w:color="auto"/>
        <w:bottom w:val="none" w:sz="0" w:space="0" w:color="auto"/>
        <w:right w:val="none" w:sz="0" w:space="0" w:color="auto"/>
      </w:divBdr>
    </w:div>
    <w:div w:id="2002541640">
      <w:bodyDiv w:val="1"/>
      <w:marLeft w:val="0"/>
      <w:marRight w:val="0"/>
      <w:marTop w:val="0"/>
      <w:marBottom w:val="0"/>
      <w:divBdr>
        <w:top w:val="none" w:sz="0" w:space="0" w:color="auto"/>
        <w:left w:val="none" w:sz="0" w:space="0" w:color="auto"/>
        <w:bottom w:val="none" w:sz="0" w:space="0" w:color="auto"/>
        <w:right w:val="none" w:sz="0" w:space="0" w:color="auto"/>
      </w:divBdr>
    </w:div>
    <w:div w:id="2044942961">
      <w:bodyDiv w:val="1"/>
      <w:marLeft w:val="0"/>
      <w:marRight w:val="0"/>
      <w:marTop w:val="0"/>
      <w:marBottom w:val="0"/>
      <w:divBdr>
        <w:top w:val="none" w:sz="0" w:space="0" w:color="auto"/>
        <w:left w:val="none" w:sz="0" w:space="0" w:color="auto"/>
        <w:bottom w:val="none" w:sz="0" w:space="0" w:color="auto"/>
        <w:right w:val="none" w:sz="0" w:space="0" w:color="auto"/>
      </w:divBdr>
    </w:div>
    <w:div w:id="2128229870">
      <w:bodyDiv w:val="1"/>
      <w:marLeft w:val="0"/>
      <w:marRight w:val="0"/>
      <w:marTop w:val="0"/>
      <w:marBottom w:val="0"/>
      <w:divBdr>
        <w:top w:val="none" w:sz="0" w:space="0" w:color="auto"/>
        <w:left w:val="none" w:sz="0" w:space="0" w:color="auto"/>
        <w:bottom w:val="none" w:sz="0" w:space="0" w:color="auto"/>
        <w:right w:val="none" w:sz="0" w:space="0" w:color="auto"/>
      </w:divBdr>
    </w:div>
    <w:div w:id="21340599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mfeb.ir\temp\TemTaq_000.dotx" TargetMode="External"/></Relationships>
</file>

<file path=word/theme/theme1.xml><?xml version="1.0" encoding="utf-8"?>
<a:theme xmlns:a="http://schemas.openxmlformats.org/drawingml/2006/main" name="طرح زمینه Office">
  <a:themeElements>
    <a:clrScheme name="دفتر کار">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دفتر کار">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دفتر کار">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133EB5B-D189-4DD6-AEA3-E5220A129E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TemTaq_000.dotx</Template>
  <TotalTime>711</TotalTime>
  <Pages>9</Pages>
  <Words>2781</Words>
  <Characters>15858</Characters>
  <Application>Microsoft Office Word</Application>
  <DocSecurity>0</DocSecurity>
  <Lines>132</Lines>
  <Paragraphs>37</Paragraphs>
  <ScaleCrop>false</ScaleCrop>
  <HeadingPairs>
    <vt:vector size="4" baseType="variant">
      <vt:variant>
        <vt:lpstr>Title</vt:lpstr>
      </vt:variant>
      <vt:variant>
        <vt:i4>1</vt:i4>
      </vt:variant>
      <vt:variant>
        <vt:lpstr>عنوان</vt:lpstr>
      </vt:variant>
      <vt:variant>
        <vt:i4>1</vt:i4>
      </vt:variant>
    </vt:vector>
  </HeadingPairs>
  <TitlesOfParts>
    <vt:vector size="2" baseType="lpstr">
      <vt:lpstr>تقریرات دروس خارج مدرسه فقهی امام محمد باقر علیه السلام</vt:lpstr>
      <vt:lpstr>تقریرات دروس خارج مدرسه فقهی امام محمد باقر علیه السلام</vt:lpstr>
    </vt:vector>
  </TitlesOfParts>
  <Manager>mfeb.ir</Manager>
  <Company>مدرسه فقهی امام محمد باقر علیه السلام</Company>
  <LinksUpToDate>false</LinksUpToDate>
  <CharactersWithSpaces>18602</CharactersWithSpaces>
  <SharedDoc>false</SharedDoc>
  <HyperlinkBase>www.mfeb.ir</HyperlinkBase>
  <HLinks>
    <vt:vector size="120" baseType="variant">
      <vt:variant>
        <vt:i4>1638455</vt:i4>
      </vt:variant>
      <vt:variant>
        <vt:i4>116</vt:i4>
      </vt:variant>
      <vt:variant>
        <vt:i4>0</vt:i4>
      </vt:variant>
      <vt:variant>
        <vt:i4>5</vt:i4>
      </vt:variant>
      <vt:variant>
        <vt:lpwstr/>
      </vt:variant>
      <vt:variant>
        <vt:lpwstr>_Toc388683437</vt:lpwstr>
      </vt:variant>
      <vt:variant>
        <vt:i4>1638455</vt:i4>
      </vt:variant>
      <vt:variant>
        <vt:i4>110</vt:i4>
      </vt:variant>
      <vt:variant>
        <vt:i4>0</vt:i4>
      </vt:variant>
      <vt:variant>
        <vt:i4>5</vt:i4>
      </vt:variant>
      <vt:variant>
        <vt:lpwstr/>
      </vt:variant>
      <vt:variant>
        <vt:lpwstr>_Toc388683436</vt:lpwstr>
      </vt:variant>
      <vt:variant>
        <vt:i4>1638455</vt:i4>
      </vt:variant>
      <vt:variant>
        <vt:i4>104</vt:i4>
      </vt:variant>
      <vt:variant>
        <vt:i4>0</vt:i4>
      </vt:variant>
      <vt:variant>
        <vt:i4>5</vt:i4>
      </vt:variant>
      <vt:variant>
        <vt:lpwstr/>
      </vt:variant>
      <vt:variant>
        <vt:lpwstr>_Toc388683435</vt:lpwstr>
      </vt:variant>
      <vt:variant>
        <vt:i4>1638455</vt:i4>
      </vt:variant>
      <vt:variant>
        <vt:i4>98</vt:i4>
      </vt:variant>
      <vt:variant>
        <vt:i4>0</vt:i4>
      </vt:variant>
      <vt:variant>
        <vt:i4>5</vt:i4>
      </vt:variant>
      <vt:variant>
        <vt:lpwstr/>
      </vt:variant>
      <vt:variant>
        <vt:lpwstr>_Toc388683434</vt:lpwstr>
      </vt:variant>
      <vt:variant>
        <vt:i4>1638455</vt:i4>
      </vt:variant>
      <vt:variant>
        <vt:i4>92</vt:i4>
      </vt:variant>
      <vt:variant>
        <vt:i4>0</vt:i4>
      </vt:variant>
      <vt:variant>
        <vt:i4>5</vt:i4>
      </vt:variant>
      <vt:variant>
        <vt:lpwstr/>
      </vt:variant>
      <vt:variant>
        <vt:lpwstr>_Toc388683433</vt:lpwstr>
      </vt:variant>
      <vt:variant>
        <vt:i4>1638455</vt:i4>
      </vt:variant>
      <vt:variant>
        <vt:i4>86</vt:i4>
      </vt:variant>
      <vt:variant>
        <vt:i4>0</vt:i4>
      </vt:variant>
      <vt:variant>
        <vt:i4>5</vt:i4>
      </vt:variant>
      <vt:variant>
        <vt:lpwstr/>
      </vt:variant>
      <vt:variant>
        <vt:lpwstr>_Toc388683432</vt:lpwstr>
      </vt:variant>
      <vt:variant>
        <vt:i4>1638455</vt:i4>
      </vt:variant>
      <vt:variant>
        <vt:i4>80</vt:i4>
      </vt:variant>
      <vt:variant>
        <vt:i4>0</vt:i4>
      </vt:variant>
      <vt:variant>
        <vt:i4>5</vt:i4>
      </vt:variant>
      <vt:variant>
        <vt:lpwstr/>
      </vt:variant>
      <vt:variant>
        <vt:lpwstr>_Toc388683431</vt:lpwstr>
      </vt:variant>
      <vt:variant>
        <vt:i4>1638455</vt:i4>
      </vt:variant>
      <vt:variant>
        <vt:i4>74</vt:i4>
      </vt:variant>
      <vt:variant>
        <vt:i4>0</vt:i4>
      </vt:variant>
      <vt:variant>
        <vt:i4>5</vt:i4>
      </vt:variant>
      <vt:variant>
        <vt:lpwstr/>
      </vt:variant>
      <vt:variant>
        <vt:lpwstr>_Toc388683430</vt:lpwstr>
      </vt:variant>
      <vt:variant>
        <vt:i4>1572919</vt:i4>
      </vt:variant>
      <vt:variant>
        <vt:i4>68</vt:i4>
      </vt:variant>
      <vt:variant>
        <vt:i4>0</vt:i4>
      </vt:variant>
      <vt:variant>
        <vt:i4>5</vt:i4>
      </vt:variant>
      <vt:variant>
        <vt:lpwstr/>
      </vt:variant>
      <vt:variant>
        <vt:lpwstr>_Toc388683429</vt:lpwstr>
      </vt:variant>
      <vt:variant>
        <vt:i4>1572919</vt:i4>
      </vt:variant>
      <vt:variant>
        <vt:i4>62</vt:i4>
      </vt:variant>
      <vt:variant>
        <vt:i4>0</vt:i4>
      </vt:variant>
      <vt:variant>
        <vt:i4>5</vt:i4>
      </vt:variant>
      <vt:variant>
        <vt:lpwstr/>
      </vt:variant>
      <vt:variant>
        <vt:lpwstr>_Toc388683428</vt:lpwstr>
      </vt:variant>
      <vt:variant>
        <vt:i4>1572919</vt:i4>
      </vt:variant>
      <vt:variant>
        <vt:i4>56</vt:i4>
      </vt:variant>
      <vt:variant>
        <vt:i4>0</vt:i4>
      </vt:variant>
      <vt:variant>
        <vt:i4>5</vt:i4>
      </vt:variant>
      <vt:variant>
        <vt:lpwstr/>
      </vt:variant>
      <vt:variant>
        <vt:lpwstr>_Toc388683427</vt:lpwstr>
      </vt:variant>
      <vt:variant>
        <vt:i4>1572919</vt:i4>
      </vt:variant>
      <vt:variant>
        <vt:i4>50</vt:i4>
      </vt:variant>
      <vt:variant>
        <vt:i4>0</vt:i4>
      </vt:variant>
      <vt:variant>
        <vt:i4>5</vt:i4>
      </vt:variant>
      <vt:variant>
        <vt:lpwstr/>
      </vt:variant>
      <vt:variant>
        <vt:lpwstr>_Toc388683426</vt:lpwstr>
      </vt:variant>
      <vt:variant>
        <vt:i4>1572919</vt:i4>
      </vt:variant>
      <vt:variant>
        <vt:i4>44</vt:i4>
      </vt:variant>
      <vt:variant>
        <vt:i4>0</vt:i4>
      </vt:variant>
      <vt:variant>
        <vt:i4>5</vt:i4>
      </vt:variant>
      <vt:variant>
        <vt:lpwstr/>
      </vt:variant>
      <vt:variant>
        <vt:lpwstr>_Toc388683425</vt:lpwstr>
      </vt:variant>
      <vt:variant>
        <vt:i4>1572919</vt:i4>
      </vt:variant>
      <vt:variant>
        <vt:i4>38</vt:i4>
      </vt:variant>
      <vt:variant>
        <vt:i4>0</vt:i4>
      </vt:variant>
      <vt:variant>
        <vt:i4>5</vt:i4>
      </vt:variant>
      <vt:variant>
        <vt:lpwstr/>
      </vt:variant>
      <vt:variant>
        <vt:lpwstr>_Toc388683424</vt:lpwstr>
      </vt:variant>
      <vt:variant>
        <vt:i4>1572919</vt:i4>
      </vt:variant>
      <vt:variant>
        <vt:i4>32</vt:i4>
      </vt:variant>
      <vt:variant>
        <vt:i4>0</vt:i4>
      </vt:variant>
      <vt:variant>
        <vt:i4>5</vt:i4>
      </vt:variant>
      <vt:variant>
        <vt:lpwstr/>
      </vt:variant>
      <vt:variant>
        <vt:lpwstr>_Toc388683423</vt:lpwstr>
      </vt:variant>
      <vt:variant>
        <vt:i4>1572919</vt:i4>
      </vt:variant>
      <vt:variant>
        <vt:i4>26</vt:i4>
      </vt:variant>
      <vt:variant>
        <vt:i4>0</vt:i4>
      </vt:variant>
      <vt:variant>
        <vt:i4>5</vt:i4>
      </vt:variant>
      <vt:variant>
        <vt:lpwstr/>
      </vt:variant>
      <vt:variant>
        <vt:lpwstr>_Toc388683422</vt:lpwstr>
      </vt:variant>
      <vt:variant>
        <vt:i4>1572919</vt:i4>
      </vt:variant>
      <vt:variant>
        <vt:i4>20</vt:i4>
      </vt:variant>
      <vt:variant>
        <vt:i4>0</vt:i4>
      </vt:variant>
      <vt:variant>
        <vt:i4>5</vt:i4>
      </vt:variant>
      <vt:variant>
        <vt:lpwstr/>
      </vt:variant>
      <vt:variant>
        <vt:lpwstr>_Toc388683421</vt:lpwstr>
      </vt:variant>
      <vt:variant>
        <vt:i4>1572919</vt:i4>
      </vt:variant>
      <vt:variant>
        <vt:i4>14</vt:i4>
      </vt:variant>
      <vt:variant>
        <vt:i4>0</vt:i4>
      </vt:variant>
      <vt:variant>
        <vt:i4>5</vt:i4>
      </vt:variant>
      <vt:variant>
        <vt:lpwstr/>
      </vt:variant>
      <vt:variant>
        <vt:lpwstr>_Toc388683420</vt:lpwstr>
      </vt:variant>
      <vt:variant>
        <vt:i4>1769527</vt:i4>
      </vt:variant>
      <vt:variant>
        <vt:i4>8</vt:i4>
      </vt:variant>
      <vt:variant>
        <vt:i4>0</vt:i4>
      </vt:variant>
      <vt:variant>
        <vt:i4>5</vt:i4>
      </vt:variant>
      <vt:variant>
        <vt:lpwstr/>
      </vt:variant>
      <vt:variant>
        <vt:lpwstr>_Toc388683419</vt:lpwstr>
      </vt:variant>
      <vt:variant>
        <vt:i4>1769527</vt:i4>
      </vt:variant>
      <vt:variant>
        <vt:i4>2</vt:i4>
      </vt:variant>
      <vt:variant>
        <vt:i4>0</vt:i4>
      </vt:variant>
      <vt:variant>
        <vt:i4>5</vt:i4>
      </vt:variant>
      <vt:variant>
        <vt:lpwstr/>
      </vt:variant>
      <vt:variant>
        <vt:lpwstr>_Toc388683418</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تقریرات دروس خارج مدرسه فقهی امام محمد باقر علیه السلام</dc:title>
  <dc:subject>تقریر دروس خارج</dc:subject>
  <dc:creator>mfeb.ir;سید علی مرتضوی</dc:creator>
  <cp:keywords>تقریر، درس خارج</cp:keywords>
  <dc:description>2.8اصلاح هدینگ موضوع</dc:description>
  <cp:lastModifiedBy>حسین یزدانی</cp:lastModifiedBy>
  <cp:revision>17</cp:revision>
  <dcterms:created xsi:type="dcterms:W3CDTF">2023-09-25T15:18:00Z</dcterms:created>
  <dcterms:modified xsi:type="dcterms:W3CDTF">2023-10-15T15:51:00Z</dcterms:modified>
  <cp:contentStatus>ویرایش 2.5</cp:contentStatus>
  <cp:version>2.7</cp:version>
</cp:coreProperties>
</file>