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1659A" w:rsidRDefault="0081659A" w:rsidP="0081659A">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81659A" w:rsidRDefault="0081659A" w:rsidP="0081659A">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w:t>
      </w:r>
      <w:r>
        <w:rPr>
          <w:rFonts w:ascii="IRANSans" w:hAnsi="IRANSans" w:cs="IRANSans" w:hint="cs"/>
          <w:b/>
          <w:bCs/>
          <w:color w:val="C00000"/>
          <w:sz w:val="28"/>
          <w:shd w:val="clear" w:color="auto" w:fill="FFFFFF"/>
          <w:rtl/>
          <w:lang w:val="x-none"/>
        </w:rPr>
        <w:t>23</w:t>
      </w:r>
    </w:p>
    <w:p w:rsidR="00C91EB6" w:rsidRPr="0081659A" w:rsidRDefault="0081659A" w:rsidP="0081659A">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195BA5">
        <w:rPr>
          <w:rStyle w:val="Hyperlink"/>
          <w:noProof/>
          <w:rtl/>
        </w:rPr>
        <w:fldChar w:fldCharType="begin"/>
      </w:r>
      <w:r w:rsidR="00195BA5">
        <w:rPr>
          <w:rStyle w:val="Hyperlink"/>
          <w:noProof/>
          <w:rtl/>
        </w:rPr>
        <w:instrText xml:space="preserve"> </w:instrText>
      </w:r>
      <w:r w:rsidR="00195BA5">
        <w:rPr>
          <w:rStyle w:val="Hyperlink"/>
          <w:rFonts w:hint="eastAsia"/>
          <w:noProof/>
        </w:rPr>
        <w:instrText>TOC</w:instrText>
      </w:r>
      <w:r w:rsidR="00195BA5">
        <w:rPr>
          <w:rStyle w:val="Hyperlink"/>
          <w:rFonts w:hint="eastAsia"/>
          <w:noProof/>
          <w:rtl/>
        </w:rPr>
        <w:instrText xml:space="preserve"> \</w:instrText>
      </w:r>
      <w:r w:rsidR="00195BA5">
        <w:rPr>
          <w:rStyle w:val="Hyperlink"/>
          <w:rFonts w:hint="eastAsia"/>
          <w:noProof/>
        </w:rPr>
        <w:instrText>o "1-9" \h \z \u</w:instrText>
      </w:r>
      <w:r w:rsidR="00195BA5">
        <w:rPr>
          <w:rStyle w:val="Hyperlink"/>
          <w:noProof/>
          <w:rtl/>
        </w:rPr>
        <w:instrText xml:space="preserve"> </w:instrText>
      </w:r>
      <w:r w:rsidR="00195BA5">
        <w:rPr>
          <w:rStyle w:val="Hyperlink"/>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E11DE8">
        <w:rPr>
          <w:rFonts w:hint="cs"/>
          <w:rtl/>
        </w:rPr>
        <w:t>تعلق</w:t>
      </w:r>
      <w:r w:rsidR="00E11DE8">
        <w:rPr>
          <w:rtl/>
        </w:rPr>
        <w:t xml:space="preserve"> </w:t>
      </w:r>
      <w:r w:rsidR="00E11DE8">
        <w:rPr>
          <w:rFonts w:hint="cs"/>
          <w:rtl/>
        </w:rPr>
        <w:t>زکات</w:t>
      </w:r>
      <w:r w:rsidR="00E11DE8">
        <w:rPr>
          <w:rtl/>
        </w:rPr>
        <w:t xml:space="preserve"> </w:t>
      </w:r>
      <w:r w:rsidR="00E11DE8">
        <w:rPr>
          <w:rFonts w:hint="cs"/>
          <w:rtl/>
        </w:rPr>
        <w:t>به</w:t>
      </w:r>
      <w:r w:rsidR="00E11DE8">
        <w:rPr>
          <w:rtl/>
        </w:rPr>
        <w:t xml:space="preserve"> </w:t>
      </w:r>
      <w:r w:rsidR="00E11DE8">
        <w:rPr>
          <w:rFonts w:hint="cs"/>
          <w:rtl/>
        </w:rPr>
        <w:t>عین</w:t>
      </w:r>
      <w:r w:rsidR="00025B70">
        <w:rPr>
          <w:rFonts w:hint="cs"/>
          <w:rtl/>
        </w:rPr>
        <w:t xml:space="preserve"> </w:t>
      </w:r>
      <w:r w:rsidR="00386C11" w:rsidRPr="00A6366F">
        <w:rPr>
          <w:rFonts w:hint="cs"/>
          <w:rtl/>
        </w:rPr>
        <w:t>/</w:t>
      </w:r>
      <w:bookmarkStart w:id="1" w:name="BokSabj_d"/>
      <w:bookmarkEnd w:id="1"/>
      <w:r w:rsidR="00E11DE8">
        <w:rPr>
          <w:rFonts w:hint="cs"/>
          <w:rtl/>
        </w:rPr>
        <w:t>نحوه</w:t>
      </w:r>
      <w:r w:rsidR="00E11DE8">
        <w:rPr>
          <w:rtl/>
        </w:rPr>
        <w:t xml:space="preserve"> </w:t>
      </w:r>
      <w:r w:rsidR="00E11DE8">
        <w:rPr>
          <w:rFonts w:hint="cs"/>
          <w:rtl/>
        </w:rPr>
        <w:t>تعلّق</w:t>
      </w:r>
      <w:r w:rsidR="00E11DE8">
        <w:rPr>
          <w:rtl/>
        </w:rPr>
        <w:t xml:space="preserve"> </w:t>
      </w:r>
      <w:r w:rsidR="00E11DE8">
        <w:rPr>
          <w:rFonts w:hint="cs"/>
          <w:rtl/>
        </w:rPr>
        <w:t>حق</w:t>
      </w:r>
      <w:r w:rsidR="00E11DE8">
        <w:rPr>
          <w:rtl/>
        </w:rPr>
        <w:t xml:space="preserve"> </w:t>
      </w:r>
      <w:r w:rsidR="00E11DE8">
        <w:rPr>
          <w:rFonts w:hint="cs"/>
          <w:rtl/>
        </w:rPr>
        <w:t>مستحقین</w:t>
      </w:r>
      <w:r w:rsidR="00386C11" w:rsidRPr="00A6366F">
        <w:rPr>
          <w:rFonts w:hint="cs"/>
          <w:rtl/>
        </w:rPr>
        <w:t xml:space="preserve"> /</w:t>
      </w:r>
      <w:bookmarkStart w:id="2" w:name="Bokkolli"/>
      <w:bookmarkEnd w:id="2"/>
      <w:r w:rsidR="00E11DE8">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307CCA" w:rsidRDefault="00307CCA" w:rsidP="00307CCA">
      <w:pPr>
        <w:ind w:firstLine="423"/>
        <w:rPr>
          <w:rFonts w:ascii="IRBadr" w:hAnsi="IRBadr" w:cs="IRBadr"/>
          <w:rtl/>
        </w:rPr>
      </w:pPr>
      <w:r w:rsidRPr="00B36F1B">
        <w:rPr>
          <w:rFonts w:ascii="IRBadr" w:hAnsi="IRBadr" w:cs="IRBadr" w:hint="cs"/>
          <w:b/>
          <w:bCs/>
          <w:rtl/>
        </w:rPr>
        <w:t xml:space="preserve">بسم الله الرحمن و به نستعین إنّه خیر ناصر و معین. الحمد لله رب العالمین و صلی الله علی سیدنا و نبینا محمد و آله الطاهرین و اللعن علی أعدائهم اجمعین من الآن الی قیام </w:t>
      </w:r>
      <w:bookmarkStart w:id="3" w:name="_GoBack"/>
      <w:bookmarkEnd w:id="3"/>
      <w:r w:rsidRPr="00B36F1B">
        <w:rPr>
          <w:rFonts w:ascii="IRBadr" w:hAnsi="IRBadr" w:cs="IRBadr" w:hint="cs"/>
          <w:b/>
          <w:bCs/>
          <w:rtl/>
        </w:rPr>
        <w:t>یوم الدین</w:t>
      </w:r>
      <w:r>
        <w:rPr>
          <w:rFonts w:ascii="IRBadr" w:hAnsi="IRBadr" w:cs="IRBadr" w:hint="cs"/>
          <w:rtl/>
        </w:rPr>
        <w:t>.</w:t>
      </w:r>
    </w:p>
    <w:p w:rsidR="00307CCA" w:rsidRDefault="00307CCA" w:rsidP="00307CCA">
      <w:pPr>
        <w:pStyle w:val="Heading1"/>
        <w:rPr>
          <w:rtl/>
        </w:rPr>
      </w:pPr>
      <w:bookmarkStart w:id="4" w:name="_Toc157292270"/>
      <w:bookmarkStart w:id="5" w:name="_Toc157292297"/>
      <w:bookmarkStart w:id="6" w:name="_Toc157292338"/>
      <w:bookmarkStart w:id="7" w:name="_Toc157295845"/>
      <w:r>
        <w:rPr>
          <w:rFonts w:hint="cs"/>
          <w:rtl/>
        </w:rPr>
        <w:t>ادلّه صاحب مدارک بر تعلّق زکات به عین</w:t>
      </w:r>
      <w:bookmarkEnd w:id="4"/>
      <w:bookmarkEnd w:id="5"/>
      <w:bookmarkEnd w:id="6"/>
      <w:bookmarkEnd w:id="7"/>
    </w:p>
    <w:p w:rsidR="00307CCA" w:rsidRDefault="00307CCA" w:rsidP="00307CCA">
      <w:pPr>
        <w:ind w:firstLine="423"/>
        <w:rPr>
          <w:rFonts w:ascii="IRBadr" w:hAnsi="IRBadr" w:cs="IRBadr"/>
          <w:rtl/>
        </w:rPr>
      </w:pPr>
      <w:r>
        <w:rPr>
          <w:rFonts w:ascii="IRBadr" w:hAnsi="IRBadr" w:cs="IRBadr" w:hint="cs"/>
          <w:rtl/>
        </w:rPr>
        <w:t>صاحب مدارک برای تعلّق زکات به عین استدلالاتی بیان کردند. دلیل سوم ایشان را بار دیگر مرور می‌نماییم.</w:t>
      </w:r>
    </w:p>
    <w:p w:rsidR="00307CCA" w:rsidRDefault="00307CCA" w:rsidP="00307CCA">
      <w:pPr>
        <w:pStyle w:val="Heading2"/>
        <w:rPr>
          <w:rtl/>
        </w:rPr>
      </w:pPr>
      <w:bookmarkStart w:id="8" w:name="_Toc157292271"/>
      <w:bookmarkStart w:id="9" w:name="_Toc157292298"/>
      <w:bookmarkStart w:id="10" w:name="_Toc157292339"/>
      <w:bookmarkStart w:id="11" w:name="_Toc157295846"/>
      <w:r>
        <w:rPr>
          <w:rFonts w:hint="cs"/>
          <w:rtl/>
        </w:rPr>
        <w:t>دلیل سوم: تقدّم زکات بر سایر دیون</w:t>
      </w:r>
      <w:bookmarkEnd w:id="8"/>
      <w:bookmarkEnd w:id="9"/>
      <w:bookmarkEnd w:id="10"/>
      <w:bookmarkEnd w:id="11"/>
    </w:p>
    <w:p w:rsidR="00307CCA" w:rsidRDefault="00307CCA" w:rsidP="00307CCA">
      <w:pPr>
        <w:ind w:firstLine="423"/>
        <w:rPr>
          <w:rFonts w:ascii="IRBadr" w:hAnsi="IRBadr" w:cs="IRBadr"/>
          <w:rtl/>
        </w:rPr>
      </w:pPr>
      <w:r>
        <w:rPr>
          <w:rFonts w:ascii="IRBadr" w:hAnsi="IRBadr" w:cs="IRBadr" w:hint="cs"/>
          <w:color w:val="0000FF"/>
          <w:rtl/>
        </w:rPr>
        <w:t>«</w:t>
      </w:r>
      <w:r w:rsidRPr="00844618">
        <w:rPr>
          <w:rFonts w:ascii="IRBadr" w:hAnsi="IRBadr" w:cs="IRBadr" w:hint="cs"/>
          <w:color w:val="0000FF"/>
          <w:rtl/>
        </w:rPr>
        <w:t>سوم</w:t>
      </w:r>
      <w:r>
        <w:rPr>
          <w:rFonts w:ascii="IRBadr" w:hAnsi="IRBadr" w:cs="IRBadr" w:hint="cs"/>
          <w:color w:val="0000FF"/>
          <w:rtl/>
        </w:rPr>
        <w:t>:</w:t>
      </w:r>
      <w:r w:rsidRPr="00844618">
        <w:rPr>
          <w:rFonts w:ascii="IRBadr" w:hAnsi="IRBadr" w:cs="IRBadr" w:hint="cs"/>
          <w:color w:val="0000FF"/>
          <w:rtl/>
        </w:rPr>
        <w:t xml:space="preserve"> اگر ترکه میّت برای ادای دیون میّت و زکات کافی نباشد، قطعا زکات مقدم بر سایر دیون است</w:t>
      </w:r>
      <w:r>
        <w:rPr>
          <w:rFonts w:ascii="IRBadr" w:hAnsi="IRBadr" w:cs="IRBadr" w:hint="cs"/>
          <w:color w:val="0000FF"/>
          <w:rtl/>
        </w:rPr>
        <w:t xml:space="preserve"> در حالی که اگر زکات به ذمّه تعلّق بگیرد،</w:t>
      </w:r>
      <w:r w:rsidRPr="00844618">
        <w:rPr>
          <w:rFonts w:ascii="IRBadr" w:hAnsi="IRBadr" w:cs="IRBadr" w:hint="cs"/>
          <w:color w:val="0000FF"/>
          <w:rtl/>
        </w:rPr>
        <w:t xml:space="preserve"> همانند سایر دیون خواهد بود و نباید زکات مقدّم بر</w:t>
      </w:r>
      <w:r>
        <w:rPr>
          <w:rFonts w:ascii="IRBadr" w:hAnsi="IRBadr" w:cs="IRBadr" w:hint="cs"/>
          <w:color w:val="0000FF"/>
          <w:rtl/>
        </w:rPr>
        <w:t xml:space="preserve"> </w:t>
      </w:r>
      <w:r w:rsidRPr="00844618">
        <w:rPr>
          <w:rFonts w:ascii="IRBadr" w:hAnsi="IRBadr" w:cs="IRBadr" w:hint="cs"/>
          <w:color w:val="0000FF"/>
          <w:rtl/>
        </w:rPr>
        <w:t>سایر دیون شود</w:t>
      </w:r>
      <w:r>
        <w:rPr>
          <w:rFonts w:ascii="IRBadr" w:hAnsi="IRBadr" w:cs="IRBadr" w:hint="cs"/>
          <w:color w:val="0000FF"/>
          <w:rtl/>
        </w:rPr>
        <w:t>»</w:t>
      </w:r>
      <w:r>
        <w:rPr>
          <w:rStyle w:val="FootnoteReference"/>
          <w:rFonts w:ascii="IRBadr" w:hAnsi="IRBadr" w:cs="IRBadr"/>
          <w:color w:val="0000FF"/>
          <w:rtl/>
        </w:rPr>
        <w:footnoteReference w:id="1"/>
      </w:r>
      <w:r>
        <w:rPr>
          <w:rFonts w:ascii="IRBadr" w:hAnsi="IRBadr" w:cs="IRBadr" w:hint="cs"/>
          <w:rtl/>
        </w:rPr>
        <w:t>.</w:t>
      </w:r>
    </w:p>
    <w:p w:rsidR="00307CCA" w:rsidRDefault="00307CCA" w:rsidP="00283EDE">
      <w:pPr>
        <w:pStyle w:val="Heading3"/>
        <w:rPr>
          <w:rtl/>
        </w:rPr>
      </w:pPr>
      <w:bookmarkStart w:id="12" w:name="_Toc157292272"/>
      <w:bookmarkStart w:id="13" w:name="_Toc157292299"/>
      <w:bookmarkStart w:id="14" w:name="_Toc157292340"/>
      <w:bookmarkStart w:id="15" w:name="_Toc157295847"/>
      <w:r>
        <w:rPr>
          <w:rFonts w:hint="cs"/>
          <w:rtl/>
        </w:rPr>
        <w:t>نقد آیت الله والد به دلیل سوم</w:t>
      </w:r>
      <w:bookmarkEnd w:id="12"/>
      <w:bookmarkEnd w:id="13"/>
      <w:bookmarkEnd w:id="14"/>
      <w:bookmarkEnd w:id="15"/>
    </w:p>
    <w:p w:rsidR="00307CCA" w:rsidRDefault="00307CCA" w:rsidP="00307CCA">
      <w:pPr>
        <w:ind w:firstLine="423"/>
        <w:rPr>
          <w:rFonts w:ascii="IRBadr" w:hAnsi="IRBadr" w:cs="IRBadr"/>
          <w:rtl/>
        </w:rPr>
      </w:pPr>
      <w:r>
        <w:rPr>
          <w:rFonts w:ascii="IRBadr" w:hAnsi="IRBadr" w:cs="IRBadr" w:hint="cs"/>
          <w:rtl/>
        </w:rPr>
        <w:t>جناب آیت الله والد در نقد به این کلام بیان کردند:</w:t>
      </w:r>
    </w:p>
    <w:p w:rsidR="001A1EA5" w:rsidRDefault="00307CCA" w:rsidP="00307CCA">
      <w:pPr>
        <w:rPr>
          <w:rFonts w:ascii="IRBadr" w:hAnsi="IRBadr" w:cs="IRBadr"/>
          <w:color w:val="0000FF"/>
          <w:rtl/>
        </w:rPr>
      </w:pPr>
      <w:r>
        <w:rPr>
          <w:rFonts w:ascii="IRBadr" w:hAnsi="IRBadr" w:cs="IRBadr" w:hint="cs"/>
          <w:color w:val="0000FF"/>
          <w:rtl/>
        </w:rPr>
        <w:t>«</w:t>
      </w:r>
      <w:r w:rsidRPr="0050223E">
        <w:rPr>
          <w:rFonts w:ascii="IRBadr" w:hAnsi="IRBadr" w:cs="IRBadr" w:hint="cs"/>
          <w:color w:val="0000FF"/>
          <w:rtl/>
        </w:rPr>
        <w:t xml:space="preserve"> تقدم زکات بر سایر دیون ثابت نیست</w:t>
      </w:r>
      <w:r>
        <w:rPr>
          <w:rFonts w:ascii="IRBadr" w:hAnsi="IRBadr" w:cs="IRBadr" w:hint="cs"/>
          <w:color w:val="0000FF"/>
          <w:rtl/>
        </w:rPr>
        <w:t>.</w:t>
      </w:r>
      <w:r w:rsidRPr="0050223E">
        <w:rPr>
          <w:rFonts w:ascii="IRBadr" w:hAnsi="IRBadr" w:cs="IRBadr" w:hint="cs"/>
          <w:color w:val="0000FF"/>
          <w:rtl/>
        </w:rPr>
        <w:t xml:space="preserve"> روایتی در این زمینه ندیده‌ایم</w:t>
      </w:r>
      <w:r>
        <w:rPr>
          <w:rFonts w:ascii="IRBadr" w:hAnsi="IRBadr" w:cs="IRBadr" w:hint="cs"/>
          <w:color w:val="0000FF"/>
          <w:rtl/>
        </w:rPr>
        <w:t xml:space="preserve">. اجماع یا سیره هم باید به زمان معصوم </w:t>
      </w:r>
      <w:r w:rsidRPr="00EC1047">
        <w:rPr>
          <w:rFonts w:ascii="IRBadr" w:hAnsi="IRBadr" w:cs="IRBadr" w:hint="cs"/>
          <w:color w:val="0000FF"/>
          <w:sz w:val="14"/>
          <w:szCs w:val="20"/>
          <w:rtl/>
        </w:rPr>
        <w:t xml:space="preserve">علیه السلام </w:t>
      </w:r>
      <w:r>
        <w:rPr>
          <w:rFonts w:ascii="IRBadr" w:hAnsi="IRBadr" w:cs="IRBadr" w:hint="cs"/>
          <w:color w:val="0000FF"/>
          <w:rtl/>
        </w:rPr>
        <w:t>متّصل باشد، و در این‌گونه مسائل تفریعی مستحدث،</w:t>
      </w:r>
      <w:r w:rsidRPr="0050223E">
        <w:rPr>
          <w:rFonts w:ascii="IRBadr" w:hAnsi="IRBadr" w:cs="IRBadr" w:hint="cs"/>
          <w:color w:val="0000FF"/>
          <w:rtl/>
        </w:rPr>
        <w:t xml:space="preserve"> اتصال به زمان معصوم </w:t>
      </w:r>
      <w:r w:rsidRPr="00EC1047">
        <w:rPr>
          <w:rFonts w:ascii="IRBadr" w:hAnsi="IRBadr" w:cs="IRBadr" w:hint="cs"/>
          <w:color w:val="0000FF"/>
          <w:sz w:val="16"/>
          <w:szCs w:val="22"/>
          <w:rtl/>
        </w:rPr>
        <w:t xml:space="preserve">علیه السلام </w:t>
      </w:r>
      <w:r w:rsidRPr="0050223E">
        <w:rPr>
          <w:rFonts w:ascii="IRBadr" w:hAnsi="IRBadr" w:cs="IRBadr" w:hint="cs"/>
          <w:color w:val="0000FF"/>
          <w:rtl/>
        </w:rPr>
        <w:t>محرز نیست</w:t>
      </w:r>
      <w:r>
        <w:rPr>
          <w:rFonts w:ascii="IRBadr" w:hAnsi="IRBadr" w:cs="IRBadr" w:hint="cs"/>
          <w:color w:val="0000FF"/>
          <w:rtl/>
        </w:rPr>
        <w:t>؛ پس دلیلی بر تقدّم زکات نیافته‌ایم»</w:t>
      </w:r>
      <w:r>
        <w:rPr>
          <w:rStyle w:val="FootnoteReference"/>
          <w:rFonts w:ascii="IRBadr" w:hAnsi="IRBadr" w:cs="IRBadr"/>
          <w:color w:val="0000FF"/>
          <w:rtl/>
        </w:rPr>
        <w:footnoteReference w:id="2"/>
      </w:r>
      <w:r>
        <w:rPr>
          <w:rFonts w:ascii="IRBadr" w:hAnsi="IRBadr" w:cs="IRBadr" w:hint="cs"/>
          <w:color w:val="0000FF"/>
          <w:rtl/>
        </w:rPr>
        <w:t>.</w:t>
      </w:r>
    </w:p>
    <w:p w:rsidR="00307CCA" w:rsidRDefault="00037966" w:rsidP="00283EDE">
      <w:pPr>
        <w:pStyle w:val="Heading3"/>
        <w:rPr>
          <w:rtl/>
        </w:rPr>
      </w:pPr>
      <w:bookmarkStart w:id="16" w:name="_Toc157292273"/>
      <w:bookmarkStart w:id="17" w:name="_Toc157292300"/>
      <w:bookmarkStart w:id="18" w:name="_Toc157292341"/>
      <w:bookmarkStart w:id="19" w:name="_Toc157295848"/>
      <w:r>
        <w:rPr>
          <w:rFonts w:hint="cs"/>
          <w:rtl/>
        </w:rPr>
        <w:t xml:space="preserve">مناقشه در وجود </w:t>
      </w:r>
      <w:r w:rsidR="00307CCA">
        <w:rPr>
          <w:rFonts w:hint="cs"/>
          <w:rtl/>
        </w:rPr>
        <w:t>اجماع بر تقدّم زکات بر سایر دیون</w:t>
      </w:r>
      <w:bookmarkEnd w:id="16"/>
      <w:bookmarkEnd w:id="17"/>
      <w:bookmarkEnd w:id="18"/>
      <w:bookmarkEnd w:id="19"/>
    </w:p>
    <w:p w:rsidR="00307CCA" w:rsidRDefault="00307CCA" w:rsidP="00307CCA">
      <w:pPr>
        <w:rPr>
          <w:rFonts w:ascii="IRBadr" w:hAnsi="IRBadr" w:cs="IRBadr"/>
          <w:rtl/>
        </w:rPr>
      </w:pPr>
      <w:r>
        <w:rPr>
          <w:rFonts w:ascii="IRBadr" w:hAnsi="IRBadr" w:cs="IRBadr" w:hint="cs"/>
          <w:rtl/>
        </w:rPr>
        <w:t xml:space="preserve">جناب آیت الله والد در رابطه با آنکه اجماعی در مساله وجود دارد یا وجود ندارد بحث ننموده‌اند. گویا ایشان بیان کرده‌اند که بر فرض آنکه اجماعی هم در مساله وجود داشته باشد،‌حجیّت ندارد؛ چرا که در این‌گونه موارد که از فروع است، اتّصال به عصر معصوم روشن نیست. از عبارت شرائع استفاده می‌شود که از اساس، </w:t>
      </w:r>
      <w:r w:rsidR="00367E2E">
        <w:rPr>
          <w:rFonts w:ascii="IRBadr" w:hAnsi="IRBadr" w:cs="IRBadr" w:hint="cs"/>
          <w:rtl/>
        </w:rPr>
        <w:t>اجماعی در مساله ثابت نیست. صاحب شرایع</w:t>
      </w:r>
      <w:r>
        <w:rPr>
          <w:rFonts w:ascii="IRBadr" w:hAnsi="IRBadr" w:cs="IRBadr" w:hint="cs"/>
          <w:rtl/>
        </w:rPr>
        <w:t xml:space="preserve"> بیان کرده‌اند</w:t>
      </w:r>
      <w:r w:rsidR="00367E2E">
        <w:rPr>
          <w:rFonts w:ascii="IRBadr" w:hAnsi="IRBadr" w:cs="IRBadr" w:hint="cs"/>
          <w:rtl/>
        </w:rPr>
        <w:t>:</w:t>
      </w:r>
    </w:p>
    <w:p w:rsidR="00307CCA" w:rsidRDefault="00307CCA" w:rsidP="00307CCA">
      <w:pPr>
        <w:rPr>
          <w:rFonts w:ascii="IRBadr" w:hAnsi="IRBadr" w:cs="IRBadr"/>
          <w:rtl/>
        </w:rPr>
      </w:pPr>
      <w:r w:rsidRPr="00307CCA">
        <w:rPr>
          <w:rFonts w:ascii="IRBadr" w:hAnsi="IRBadr" w:cs="IRBadr" w:hint="cs"/>
          <w:color w:val="0000FF"/>
          <w:rtl/>
        </w:rPr>
        <w:t>«و</w:t>
      </w:r>
      <w:r w:rsidRPr="00307CCA">
        <w:rPr>
          <w:rFonts w:ascii="IRBadr" w:hAnsi="IRBadr" w:cs="IRBadr"/>
          <w:color w:val="0000FF"/>
          <w:rtl/>
        </w:rPr>
        <w:t xml:space="preserve"> </w:t>
      </w:r>
      <w:r w:rsidRPr="00307CCA">
        <w:rPr>
          <w:rFonts w:ascii="IRBadr" w:hAnsi="IRBadr" w:cs="IRBadr" w:hint="cs"/>
          <w:color w:val="0000FF"/>
          <w:rtl/>
        </w:rPr>
        <w:t>لو</w:t>
      </w:r>
      <w:r w:rsidRPr="00307CCA">
        <w:rPr>
          <w:rFonts w:ascii="IRBadr" w:hAnsi="IRBadr" w:cs="IRBadr"/>
          <w:color w:val="0000FF"/>
          <w:rtl/>
        </w:rPr>
        <w:t xml:space="preserve"> </w:t>
      </w:r>
      <w:r w:rsidRPr="00307CCA">
        <w:rPr>
          <w:rFonts w:ascii="IRBadr" w:hAnsi="IRBadr" w:cs="IRBadr" w:hint="cs"/>
          <w:color w:val="0000FF"/>
          <w:rtl/>
        </w:rPr>
        <w:t>ضاقت</w:t>
      </w:r>
      <w:r w:rsidRPr="00307CCA">
        <w:rPr>
          <w:rFonts w:ascii="IRBadr" w:hAnsi="IRBadr" w:cs="IRBadr"/>
          <w:color w:val="0000FF"/>
          <w:rtl/>
        </w:rPr>
        <w:t xml:space="preserve"> </w:t>
      </w:r>
      <w:r w:rsidRPr="00307CCA">
        <w:rPr>
          <w:rFonts w:ascii="IRBadr" w:hAnsi="IRBadr" w:cs="IRBadr" w:hint="cs"/>
          <w:color w:val="0000FF"/>
          <w:rtl/>
        </w:rPr>
        <w:t>التركة</w:t>
      </w:r>
      <w:r w:rsidRPr="00307CCA">
        <w:rPr>
          <w:rFonts w:ascii="IRBadr" w:hAnsi="IRBadr" w:cs="IRBadr"/>
          <w:color w:val="0000FF"/>
          <w:rtl/>
        </w:rPr>
        <w:t xml:space="preserve"> </w:t>
      </w:r>
      <w:r w:rsidRPr="00307CCA">
        <w:rPr>
          <w:rFonts w:ascii="IRBadr" w:hAnsi="IRBadr" w:cs="IRBadr" w:hint="cs"/>
          <w:color w:val="0000FF"/>
          <w:rtl/>
        </w:rPr>
        <w:t>عن</w:t>
      </w:r>
      <w:r w:rsidRPr="00307CCA">
        <w:rPr>
          <w:rFonts w:ascii="IRBadr" w:hAnsi="IRBadr" w:cs="IRBadr"/>
          <w:color w:val="0000FF"/>
          <w:rtl/>
        </w:rPr>
        <w:t xml:space="preserve"> </w:t>
      </w:r>
      <w:r w:rsidRPr="00307CCA">
        <w:rPr>
          <w:rFonts w:ascii="IRBadr" w:hAnsi="IRBadr" w:cs="IRBadr" w:hint="cs"/>
          <w:color w:val="0000FF"/>
          <w:rtl/>
        </w:rPr>
        <w:t>الدين</w:t>
      </w:r>
      <w:r w:rsidRPr="00307CCA">
        <w:rPr>
          <w:rFonts w:ascii="IRBadr" w:hAnsi="IRBadr" w:cs="IRBadr"/>
          <w:color w:val="0000FF"/>
          <w:rtl/>
        </w:rPr>
        <w:t xml:space="preserve"> </w:t>
      </w:r>
      <w:r w:rsidRPr="00307CCA">
        <w:rPr>
          <w:rFonts w:ascii="IRBadr" w:hAnsi="IRBadr" w:cs="IRBadr" w:hint="cs"/>
          <w:color w:val="0000FF"/>
          <w:rtl/>
        </w:rPr>
        <w:t>قيل</w:t>
      </w:r>
      <w:r w:rsidRPr="00307CCA">
        <w:rPr>
          <w:rFonts w:ascii="IRBadr" w:hAnsi="IRBadr" w:cs="IRBadr"/>
          <w:color w:val="0000FF"/>
          <w:rtl/>
        </w:rPr>
        <w:t xml:space="preserve"> </w:t>
      </w:r>
      <w:r w:rsidRPr="00307CCA">
        <w:rPr>
          <w:rFonts w:ascii="IRBadr" w:hAnsi="IRBadr" w:cs="IRBadr" w:hint="cs"/>
          <w:color w:val="0000FF"/>
          <w:rtl/>
        </w:rPr>
        <w:t>يقع</w:t>
      </w:r>
      <w:r w:rsidRPr="00307CCA">
        <w:rPr>
          <w:rFonts w:ascii="IRBadr" w:hAnsi="IRBadr" w:cs="IRBadr"/>
          <w:color w:val="0000FF"/>
          <w:rtl/>
        </w:rPr>
        <w:t xml:space="preserve"> </w:t>
      </w:r>
      <w:r w:rsidRPr="00307CCA">
        <w:rPr>
          <w:rFonts w:ascii="IRBadr" w:hAnsi="IRBadr" w:cs="IRBadr" w:hint="cs"/>
          <w:color w:val="0000FF"/>
          <w:rtl/>
        </w:rPr>
        <w:t>التحاص</w:t>
      </w:r>
      <w:r>
        <w:rPr>
          <w:rFonts w:ascii="IRBadr" w:hAnsi="IRBadr" w:cs="IRBadr" w:hint="cs"/>
          <w:color w:val="0000FF"/>
          <w:rtl/>
        </w:rPr>
        <w:t>ّ</w:t>
      </w:r>
      <w:r w:rsidRPr="00307CCA">
        <w:rPr>
          <w:rFonts w:ascii="IRBadr" w:hAnsi="IRBadr" w:cs="IRBadr"/>
          <w:color w:val="0000FF"/>
          <w:rtl/>
        </w:rPr>
        <w:t xml:space="preserve"> </w:t>
      </w:r>
      <w:r w:rsidRPr="00307CCA">
        <w:rPr>
          <w:rFonts w:ascii="IRBadr" w:hAnsi="IRBadr" w:cs="IRBadr" w:hint="cs"/>
          <w:color w:val="0000FF"/>
          <w:rtl/>
        </w:rPr>
        <w:t>بين</w:t>
      </w:r>
      <w:r w:rsidRPr="00307CCA">
        <w:rPr>
          <w:rFonts w:ascii="IRBadr" w:hAnsi="IRBadr" w:cs="IRBadr"/>
          <w:color w:val="0000FF"/>
          <w:rtl/>
        </w:rPr>
        <w:t xml:space="preserve"> </w:t>
      </w:r>
      <w:r w:rsidRPr="00307CCA">
        <w:rPr>
          <w:rFonts w:ascii="IRBadr" w:hAnsi="IRBadr" w:cs="IRBadr" w:hint="cs"/>
          <w:color w:val="0000FF"/>
          <w:rtl/>
        </w:rPr>
        <w:t>أرباب</w:t>
      </w:r>
      <w:r w:rsidRPr="00307CCA">
        <w:rPr>
          <w:rFonts w:ascii="IRBadr" w:hAnsi="IRBadr" w:cs="IRBadr"/>
          <w:color w:val="0000FF"/>
          <w:rtl/>
        </w:rPr>
        <w:t xml:space="preserve"> </w:t>
      </w:r>
      <w:r w:rsidRPr="00307CCA">
        <w:rPr>
          <w:rFonts w:ascii="IRBadr" w:hAnsi="IRBadr" w:cs="IRBadr" w:hint="cs"/>
          <w:color w:val="0000FF"/>
          <w:rtl/>
        </w:rPr>
        <w:t>الزكاة</w:t>
      </w:r>
      <w:r w:rsidRPr="00307CCA">
        <w:rPr>
          <w:rFonts w:ascii="IRBadr" w:hAnsi="IRBadr" w:cs="IRBadr"/>
          <w:color w:val="0000FF"/>
          <w:rtl/>
        </w:rPr>
        <w:t xml:space="preserve"> </w:t>
      </w:r>
      <w:r w:rsidRPr="00307CCA">
        <w:rPr>
          <w:rFonts w:ascii="IRBadr" w:hAnsi="IRBadr" w:cs="IRBadr" w:hint="cs"/>
          <w:color w:val="0000FF"/>
          <w:rtl/>
        </w:rPr>
        <w:t>و</w:t>
      </w:r>
      <w:r w:rsidRPr="00307CCA">
        <w:rPr>
          <w:rFonts w:ascii="IRBadr" w:hAnsi="IRBadr" w:cs="IRBadr"/>
          <w:color w:val="0000FF"/>
          <w:rtl/>
        </w:rPr>
        <w:t xml:space="preserve"> </w:t>
      </w:r>
      <w:r w:rsidRPr="00307CCA">
        <w:rPr>
          <w:rFonts w:ascii="IRBadr" w:hAnsi="IRBadr" w:cs="IRBadr" w:hint="cs"/>
          <w:color w:val="0000FF"/>
          <w:rtl/>
        </w:rPr>
        <w:t>الديان</w:t>
      </w:r>
      <w:r w:rsidRPr="00307CCA">
        <w:rPr>
          <w:rFonts w:ascii="IRBadr" w:hAnsi="IRBadr" w:cs="IRBadr"/>
          <w:color w:val="0000FF"/>
          <w:rtl/>
        </w:rPr>
        <w:t xml:space="preserve"> </w:t>
      </w:r>
      <w:r w:rsidRPr="00307CCA">
        <w:rPr>
          <w:rFonts w:ascii="IRBadr" w:hAnsi="IRBadr" w:cs="IRBadr" w:hint="cs"/>
          <w:color w:val="0000FF"/>
          <w:rtl/>
        </w:rPr>
        <w:t>و</w:t>
      </w:r>
      <w:r w:rsidRPr="00307CCA">
        <w:rPr>
          <w:rFonts w:ascii="IRBadr" w:hAnsi="IRBadr" w:cs="IRBadr"/>
          <w:color w:val="0000FF"/>
          <w:rtl/>
        </w:rPr>
        <w:t xml:space="preserve"> </w:t>
      </w:r>
      <w:r w:rsidRPr="00307CCA">
        <w:rPr>
          <w:rFonts w:ascii="IRBadr" w:hAnsi="IRBadr" w:cs="IRBadr" w:hint="cs"/>
          <w:color w:val="0000FF"/>
          <w:rtl/>
        </w:rPr>
        <w:t>قيل</w:t>
      </w:r>
      <w:r w:rsidRPr="00307CCA">
        <w:rPr>
          <w:rFonts w:ascii="IRBadr" w:hAnsi="IRBadr" w:cs="IRBadr"/>
          <w:color w:val="0000FF"/>
          <w:rtl/>
        </w:rPr>
        <w:t xml:space="preserve"> </w:t>
      </w:r>
      <w:r w:rsidRPr="00307CCA">
        <w:rPr>
          <w:rFonts w:ascii="IRBadr" w:hAnsi="IRBadr" w:cs="IRBadr" w:hint="cs"/>
          <w:color w:val="0000FF"/>
          <w:rtl/>
        </w:rPr>
        <w:t>تقدم</w:t>
      </w:r>
      <w:r w:rsidRPr="00307CCA">
        <w:rPr>
          <w:rFonts w:ascii="IRBadr" w:hAnsi="IRBadr" w:cs="IRBadr"/>
          <w:color w:val="0000FF"/>
          <w:rtl/>
        </w:rPr>
        <w:t xml:space="preserve"> </w:t>
      </w:r>
      <w:r w:rsidRPr="00307CCA">
        <w:rPr>
          <w:rFonts w:ascii="IRBadr" w:hAnsi="IRBadr" w:cs="IRBadr" w:hint="cs"/>
          <w:color w:val="0000FF"/>
          <w:rtl/>
        </w:rPr>
        <w:t>الزكاة</w:t>
      </w:r>
      <w:r w:rsidRPr="00307CCA">
        <w:rPr>
          <w:rFonts w:ascii="IRBadr" w:hAnsi="IRBadr" w:cs="IRBadr"/>
          <w:color w:val="0000FF"/>
          <w:rtl/>
        </w:rPr>
        <w:t xml:space="preserve"> </w:t>
      </w:r>
      <w:r w:rsidRPr="00307CCA">
        <w:rPr>
          <w:rFonts w:ascii="IRBadr" w:hAnsi="IRBadr" w:cs="IRBadr" w:hint="cs"/>
          <w:color w:val="0000FF"/>
          <w:rtl/>
        </w:rPr>
        <w:t>لتعلقها</w:t>
      </w:r>
      <w:r w:rsidRPr="00307CCA">
        <w:rPr>
          <w:rFonts w:ascii="IRBadr" w:hAnsi="IRBadr" w:cs="IRBadr"/>
          <w:color w:val="0000FF"/>
          <w:rtl/>
        </w:rPr>
        <w:t xml:space="preserve"> </w:t>
      </w:r>
      <w:r w:rsidRPr="00307CCA">
        <w:rPr>
          <w:rFonts w:ascii="IRBadr" w:hAnsi="IRBadr" w:cs="IRBadr" w:hint="cs"/>
          <w:color w:val="0000FF"/>
          <w:rtl/>
        </w:rPr>
        <w:t>بالعين</w:t>
      </w:r>
      <w:r w:rsidRPr="00307CCA">
        <w:rPr>
          <w:rFonts w:ascii="IRBadr" w:hAnsi="IRBadr" w:cs="IRBadr"/>
          <w:color w:val="0000FF"/>
          <w:rtl/>
        </w:rPr>
        <w:t xml:space="preserve"> </w:t>
      </w:r>
      <w:r w:rsidRPr="00307CCA">
        <w:rPr>
          <w:rFonts w:ascii="IRBadr" w:hAnsi="IRBadr" w:cs="IRBadr" w:hint="cs"/>
          <w:color w:val="0000FF"/>
          <w:rtl/>
        </w:rPr>
        <w:t>قبل</w:t>
      </w:r>
      <w:r w:rsidRPr="00307CCA">
        <w:rPr>
          <w:rFonts w:ascii="IRBadr" w:hAnsi="IRBadr" w:cs="IRBadr"/>
          <w:color w:val="0000FF"/>
          <w:rtl/>
        </w:rPr>
        <w:t xml:space="preserve"> </w:t>
      </w:r>
      <w:r w:rsidRPr="00307CCA">
        <w:rPr>
          <w:rFonts w:ascii="IRBadr" w:hAnsi="IRBadr" w:cs="IRBadr" w:hint="cs"/>
          <w:color w:val="0000FF"/>
          <w:rtl/>
        </w:rPr>
        <w:t>تعلق</w:t>
      </w:r>
      <w:r w:rsidRPr="00307CCA">
        <w:rPr>
          <w:rFonts w:ascii="IRBadr" w:hAnsi="IRBadr" w:cs="IRBadr"/>
          <w:color w:val="0000FF"/>
          <w:rtl/>
        </w:rPr>
        <w:t xml:space="preserve"> </w:t>
      </w:r>
      <w:r w:rsidRPr="00307CCA">
        <w:rPr>
          <w:rFonts w:ascii="IRBadr" w:hAnsi="IRBadr" w:cs="IRBadr" w:hint="cs"/>
          <w:color w:val="0000FF"/>
          <w:rtl/>
        </w:rPr>
        <w:t>الدين</w:t>
      </w:r>
      <w:r w:rsidRPr="00307CCA">
        <w:rPr>
          <w:rFonts w:ascii="IRBadr" w:hAnsi="IRBadr" w:cs="IRBadr"/>
          <w:color w:val="0000FF"/>
          <w:rtl/>
        </w:rPr>
        <w:t xml:space="preserve"> </w:t>
      </w:r>
      <w:r w:rsidRPr="00307CCA">
        <w:rPr>
          <w:rFonts w:ascii="IRBadr" w:hAnsi="IRBadr" w:cs="IRBadr" w:hint="cs"/>
          <w:color w:val="0000FF"/>
          <w:rtl/>
        </w:rPr>
        <w:t>بها</w:t>
      </w:r>
      <w:r w:rsidRPr="00307CCA">
        <w:rPr>
          <w:rFonts w:ascii="IRBadr" w:hAnsi="IRBadr" w:cs="IRBadr"/>
          <w:color w:val="0000FF"/>
          <w:rtl/>
        </w:rPr>
        <w:t xml:space="preserve"> </w:t>
      </w:r>
      <w:r w:rsidRPr="00307CCA">
        <w:rPr>
          <w:rFonts w:ascii="IRBadr" w:hAnsi="IRBadr" w:cs="IRBadr" w:hint="cs"/>
          <w:color w:val="0000FF"/>
          <w:rtl/>
        </w:rPr>
        <w:t>و</w:t>
      </w:r>
      <w:r w:rsidRPr="00307CCA">
        <w:rPr>
          <w:rFonts w:ascii="IRBadr" w:hAnsi="IRBadr" w:cs="IRBadr"/>
          <w:color w:val="0000FF"/>
          <w:rtl/>
        </w:rPr>
        <w:t xml:space="preserve"> </w:t>
      </w:r>
      <w:r w:rsidRPr="00307CCA">
        <w:rPr>
          <w:rFonts w:ascii="IRBadr" w:hAnsi="IRBadr" w:cs="IRBadr" w:hint="cs"/>
          <w:color w:val="0000FF"/>
          <w:rtl/>
        </w:rPr>
        <w:t>هو</w:t>
      </w:r>
      <w:r w:rsidRPr="00307CCA">
        <w:rPr>
          <w:rFonts w:ascii="IRBadr" w:hAnsi="IRBadr" w:cs="IRBadr"/>
          <w:color w:val="0000FF"/>
          <w:rtl/>
        </w:rPr>
        <w:t xml:space="preserve"> </w:t>
      </w:r>
      <w:r w:rsidRPr="00307CCA">
        <w:rPr>
          <w:rFonts w:ascii="IRBadr" w:hAnsi="IRBadr" w:cs="IRBadr" w:hint="cs"/>
          <w:color w:val="0000FF"/>
          <w:rtl/>
        </w:rPr>
        <w:t>الأقوى»</w:t>
      </w:r>
      <w:r>
        <w:rPr>
          <w:rStyle w:val="FootnoteReference"/>
          <w:rFonts w:ascii="IRBadr" w:hAnsi="IRBadr" w:cs="IRBadr"/>
          <w:rtl/>
        </w:rPr>
        <w:footnoteReference w:id="3"/>
      </w:r>
      <w:r w:rsidRPr="00307CCA">
        <w:rPr>
          <w:rFonts w:ascii="IRBadr" w:hAnsi="IRBadr" w:cs="IRBadr"/>
          <w:rtl/>
        </w:rPr>
        <w:t>.</w:t>
      </w:r>
    </w:p>
    <w:p w:rsidR="00307CCA" w:rsidRDefault="00307CCA" w:rsidP="00367E2E">
      <w:pPr>
        <w:rPr>
          <w:rFonts w:ascii="IRBadr" w:hAnsi="IRBadr" w:cs="IRBadr"/>
          <w:rtl/>
        </w:rPr>
      </w:pPr>
      <w:r>
        <w:rPr>
          <w:rFonts w:ascii="IRBadr" w:hAnsi="IRBadr" w:cs="IRBadr" w:hint="cs"/>
          <w:rtl/>
        </w:rPr>
        <w:lastRenderedPageBreak/>
        <w:t>صاحب شرائع نفس تعلّق به ع</w:t>
      </w:r>
      <w:r w:rsidR="00367E2E">
        <w:rPr>
          <w:rFonts w:ascii="IRBadr" w:hAnsi="IRBadr" w:cs="IRBadr" w:hint="cs"/>
          <w:rtl/>
        </w:rPr>
        <w:t>ین را دلیل تقدّم زکات دانسته‌ است</w:t>
      </w:r>
      <w:r>
        <w:rPr>
          <w:rFonts w:ascii="IRBadr" w:hAnsi="IRBadr" w:cs="IRBadr" w:hint="cs"/>
          <w:rtl/>
        </w:rPr>
        <w:t>. نه آنکه تقدّم زکات مسلّم باشد و با این مساله</w:t>
      </w:r>
      <w:r w:rsidR="00367E2E">
        <w:rPr>
          <w:rFonts w:ascii="IRBadr" w:hAnsi="IRBadr" w:cs="IRBadr" w:hint="cs"/>
          <w:rtl/>
        </w:rPr>
        <w:t>،</w:t>
      </w:r>
      <w:r>
        <w:rPr>
          <w:rFonts w:ascii="IRBadr" w:hAnsi="IRBadr" w:cs="IRBadr" w:hint="cs"/>
          <w:rtl/>
        </w:rPr>
        <w:t xml:space="preserve"> تعلّق به عین اثبات شود.</w:t>
      </w:r>
      <w:r w:rsidR="00367E2E">
        <w:rPr>
          <w:rFonts w:ascii="IRBadr" w:hAnsi="IRBadr" w:cs="IRBadr" w:hint="cs"/>
          <w:rtl/>
        </w:rPr>
        <w:t xml:space="preserve"> </w:t>
      </w:r>
      <w:r>
        <w:rPr>
          <w:rFonts w:ascii="IRBadr" w:hAnsi="IRBadr" w:cs="IRBadr" w:hint="cs"/>
          <w:rtl/>
        </w:rPr>
        <w:t xml:space="preserve">در مبسوط هم مساله‌ای مطرح شده است که در صورت </w:t>
      </w:r>
      <w:r w:rsidR="00AC6759">
        <w:rPr>
          <w:rFonts w:ascii="IRBadr" w:hAnsi="IRBadr" w:cs="IRBadr" w:hint="cs"/>
          <w:rtl/>
        </w:rPr>
        <w:t>تزاحم</w:t>
      </w:r>
      <w:r>
        <w:rPr>
          <w:rFonts w:ascii="IRBadr" w:hAnsi="IRBadr" w:cs="IRBadr" w:hint="cs"/>
          <w:rtl/>
        </w:rPr>
        <w:t xml:space="preserve"> دیون </w:t>
      </w:r>
      <w:r w:rsidR="00AC6759">
        <w:rPr>
          <w:rFonts w:ascii="IRBadr" w:hAnsi="IRBadr" w:cs="IRBadr" w:hint="cs"/>
          <w:rtl/>
        </w:rPr>
        <w:t xml:space="preserve">با </w:t>
      </w:r>
      <w:r>
        <w:rPr>
          <w:rFonts w:ascii="IRBadr" w:hAnsi="IRBadr" w:cs="IRBadr" w:hint="cs"/>
          <w:rtl/>
        </w:rPr>
        <w:t>زکات</w:t>
      </w:r>
      <w:r w:rsidR="00AC6759">
        <w:rPr>
          <w:rFonts w:ascii="IRBadr" w:hAnsi="IRBadr" w:cs="IRBadr" w:hint="cs"/>
          <w:rtl/>
        </w:rPr>
        <w:t>،</w:t>
      </w:r>
      <w:r>
        <w:rPr>
          <w:rFonts w:ascii="IRBadr" w:hAnsi="IRBadr" w:cs="IRBadr" w:hint="cs"/>
          <w:rtl/>
        </w:rPr>
        <w:t xml:space="preserve"> امر چگونه می‌شود. در پایان آن بحث مرحوم شیخ بیان کرده‌اند:</w:t>
      </w:r>
    </w:p>
    <w:p w:rsidR="00307CCA" w:rsidRDefault="00AC6759" w:rsidP="00307CCA">
      <w:pPr>
        <w:rPr>
          <w:rFonts w:ascii="IRBadr" w:hAnsi="IRBadr" w:cs="IRBadr"/>
          <w:rtl/>
        </w:rPr>
      </w:pPr>
      <w:r>
        <w:rPr>
          <w:rFonts w:ascii="IRBadr" w:hAnsi="IRBadr" w:cs="IRBadr" w:hint="cs"/>
          <w:color w:val="0000FF"/>
          <w:rtl/>
        </w:rPr>
        <w:t>«</w:t>
      </w:r>
      <w:r w:rsidR="00307CCA" w:rsidRPr="00AC6759">
        <w:rPr>
          <w:rFonts w:ascii="IRBadr" w:hAnsi="IRBadr" w:cs="IRBadr" w:hint="cs"/>
          <w:color w:val="0000FF"/>
          <w:rtl/>
        </w:rPr>
        <w:t>أخرج</w:t>
      </w:r>
      <w:r w:rsidR="00307CCA" w:rsidRPr="00AC6759">
        <w:rPr>
          <w:rFonts w:ascii="IRBadr" w:hAnsi="IRBadr" w:cs="IRBadr"/>
          <w:color w:val="0000FF"/>
          <w:rtl/>
        </w:rPr>
        <w:t xml:space="preserve"> </w:t>
      </w:r>
      <w:r w:rsidR="00307CCA" w:rsidRPr="00AC6759">
        <w:rPr>
          <w:rFonts w:ascii="IRBadr" w:hAnsi="IRBadr" w:cs="IRBadr" w:hint="cs"/>
          <w:color w:val="0000FF"/>
          <w:rtl/>
        </w:rPr>
        <w:t>منه</w:t>
      </w:r>
      <w:r w:rsidR="00307CCA" w:rsidRPr="00AC6759">
        <w:rPr>
          <w:rFonts w:ascii="IRBadr" w:hAnsi="IRBadr" w:cs="IRBadr"/>
          <w:color w:val="0000FF"/>
          <w:rtl/>
        </w:rPr>
        <w:t xml:space="preserve"> </w:t>
      </w:r>
      <w:r w:rsidR="00307CCA" w:rsidRPr="00AC6759">
        <w:rPr>
          <w:rFonts w:ascii="IRBadr" w:hAnsi="IRBadr" w:cs="IRBadr" w:hint="cs"/>
          <w:color w:val="0000FF"/>
          <w:rtl/>
        </w:rPr>
        <w:t>الزكاة</w:t>
      </w:r>
      <w:r w:rsidR="00307CCA" w:rsidRPr="00AC6759">
        <w:rPr>
          <w:rFonts w:ascii="IRBadr" w:hAnsi="IRBadr" w:cs="IRBadr"/>
          <w:color w:val="0000FF"/>
          <w:rtl/>
        </w:rPr>
        <w:t xml:space="preserve"> </w:t>
      </w:r>
      <w:r w:rsidR="00307CCA" w:rsidRPr="00AC6759">
        <w:rPr>
          <w:rFonts w:ascii="IRBadr" w:hAnsi="IRBadr" w:cs="IRBadr" w:hint="cs"/>
          <w:color w:val="0000FF"/>
          <w:rtl/>
        </w:rPr>
        <w:t>و</w:t>
      </w:r>
      <w:r w:rsidR="00307CCA" w:rsidRPr="00AC6759">
        <w:rPr>
          <w:rFonts w:ascii="IRBadr" w:hAnsi="IRBadr" w:cs="IRBadr"/>
          <w:color w:val="0000FF"/>
          <w:rtl/>
        </w:rPr>
        <w:t xml:space="preserve"> </w:t>
      </w:r>
      <w:r w:rsidR="00307CCA" w:rsidRPr="00AC6759">
        <w:rPr>
          <w:rFonts w:ascii="IRBadr" w:hAnsi="IRBadr" w:cs="IRBadr" w:hint="cs"/>
          <w:color w:val="0000FF"/>
          <w:rtl/>
        </w:rPr>
        <w:t>تقاسم</w:t>
      </w:r>
      <w:r w:rsidR="00307CCA" w:rsidRPr="00AC6759">
        <w:rPr>
          <w:rFonts w:ascii="IRBadr" w:hAnsi="IRBadr" w:cs="IRBadr"/>
          <w:color w:val="0000FF"/>
          <w:rtl/>
        </w:rPr>
        <w:t xml:space="preserve"> </w:t>
      </w:r>
      <w:r w:rsidR="00307CCA" w:rsidRPr="00AC6759">
        <w:rPr>
          <w:rFonts w:ascii="IRBadr" w:hAnsi="IRBadr" w:cs="IRBadr" w:hint="cs"/>
          <w:color w:val="0000FF"/>
          <w:rtl/>
        </w:rPr>
        <w:t>باقي</w:t>
      </w:r>
      <w:r w:rsidR="00307CCA" w:rsidRPr="00AC6759">
        <w:rPr>
          <w:rFonts w:ascii="IRBadr" w:hAnsi="IRBadr" w:cs="IRBadr"/>
          <w:color w:val="0000FF"/>
          <w:rtl/>
        </w:rPr>
        <w:t xml:space="preserve"> </w:t>
      </w:r>
      <w:r w:rsidR="00307CCA" w:rsidRPr="00AC6759">
        <w:rPr>
          <w:rFonts w:ascii="IRBadr" w:hAnsi="IRBadr" w:cs="IRBadr" w:hint="cs"/>
          <w:color w:val="0000FF"/>
          <w:rtl/>
        </w:rPr>
        <w:t>الغرماء</w:t>
      </w:r>
      <w:r w:rsidR="00307CCA" w:rsidRPr="00AC6759">
        <w:rPr>
          <w:rFonts w:ascii="IRBadr" w:hAnsi="IRBadr" w:cs="IRBadr"/>
          <w:color w:val="0000FF"/>
          <w:rtl/>
        </w:rPr>
        <w:t xml:space="preserve"> </w:t>
      </w:r>
      <w:r w:rsidR="00307CCA" w:rsidRPr="00AC6759">
        <w:rPr>
          <w:rFonts w:ascii="IRBadr" w:hAnsi="IRBadr" w:cs="IRBadr" w:hint="cs"/>
          <w:color w:val="0000FF"/>
          <w:rtl/>
        </w:rPr>
        <w:t>لأن</w:t>
      </w:r>
      <w:r w:rsidR="00307CCA" w:rsidRPr="00AC6759">
        <w:rPr>
          <w:rFonts w:ascii="IRBadr" w:hAnsi="IRBadr" w:cs="IRBadr"/>
          <w:color w:val="0000FF"/>
          <w:rtl/>
        </w:rPr>
        <w:t xml:space="preserve"> </w:t>
      </w:r>
      <w:r w:rsidR="00307CCA" w:rsidRPr="00AC6759">
        <w:rPr>
          <w:rFonts w:ascii="IRBadr" w:hAnsi="IRBadr" w:cs="IRBadr" w:hint="cs"/>
          <w:color w:val="0000FF"/>
          <w:rtl/>
        </w:rPr>
        <w:t>الزكاة</w:t>
      </w:r>
      <w:r w:rsidR="00307CCA" w:rsidRPr="00AC6759">
        <w:rPr>
          <w:rFonts w:ascii="IRBadr" w:hAnsi="IRBadr" w:cs="IRBadr"/>
          <w:color w:val="0000FF"/>
          <w:rtl/>
        </w:rPr>
        <w:t xml:space="preserve"> </w:t>
      </w:r>
      <w:r w:rsidR="00307CCA" w:rsidRPr="00AC6759">
        <w:rPr>
          <w:rFonts w:ascii="IRBadr" w:hAnsi="IRBadr" w:cs="IRBadr" w:hint="cs"/>
          <w:color w:val="0000FF"/>
          <w:rtl/>
        </w:rPr>
        <w:t>في</w:t>
      </w:r>
      <w:r w:rsidR="00307CCA" w:rsidRPr="00AC6759">
        <w:rPr>
          <w:rFonts w:ascii="IRBadr" w:hAnsi="IRBadr" w:cs="IRBadr"/>
          <w:color w:val="0000FF"/>
          <w:rtl/>
        </w:rPr>
        <w:t xml:space="preserve"> </w:t>
      </w:r>
      <w:r w:rsidR="00307CCA" w:rsidRPr="00AC6759">
        <w:rPr>
          <w:rFonts w:ascii="IRBadr" w:hAnsi="IRBadr" w:cs="IRBadr" w:hint="cs"/>
          <w:color w:val="0000FF"/>
          <w:rtl/>
        </w:rPr>
        <w:t>العين</w:t>
      </w:r>
      <w:r w:rsidR="00307CCA" w:rsidRPr="00AC6759">
        <w:rPr>
          <w:rFonts w:ascii="IRBadr" w:hAnsi="IRBadr" w:cs="IRBadr"/>
          <w:color w:val="0000FF"/>
          <w:rtl/>
        </w:rPr>
        <w:t xml:space="preserve"> </w:t>
      </w:r>
      <w:r w:rsidR="00307CCA" w:rsidRPr="00AC6759">
        <w:rPr>
          <w:rFonts w:ascii="IRBadr" w:hAnsi="IRBadr" w:cs="IRBadr" w:hint="cs"/>
          <w:color w:val="0000FF"/>
          <w:rtl/>
        </w:rPr>
        <w:t>و</w:t>
      </w:r>
      <w:r w:rsidR="00307CCA" w:rsidRPr="00AC6759">
        <w:rPr>
          <w:rFonts w:ascii="IRBadr" w:hAnsi="IRBadr" w:cs="IRBadr"/>
          <w:color w:val="0000FF"/>
          <w:rtl/>
        </w:rPr>
        <w:t xml:space="preserve"> </w:t>
      </w:r>
      <w:r w:rsidR="00307CCA" w:rsidRPr="00AC6759">
        <w:rPr>
          <w:rFonts w:ascii="IRBadr" w:hAnsi="IRBadr" w:cs="IRBadr" w:hint="cs"/>
          <w:color w:val="0000FF"/>
          <w:rtl/>
        </w:rPr>
        <w:t>الدين</w:t>
      </w:r>
      <w:r w:rsidR="00307CCA" w:rsidRPr="00AC6759">
        <w:rPr>
          <w:rFonts w:ascii="IRBadr" w:hAnsi="IRBadr" w:cs="IRBadr"/>
          <w:color w:val="0000FF"/>
          <w:rtl/>
        </w:rPr>
        <w:t xml:space="preserve"> </w:t>
      </w:r>
      <w:r w:rsidR="00307CCA" w:rsidRPr="00AC6759">
        <w:rPr>
          <w:rFonts w:ascii="IRBadr" w:hAnsi="IRBadr" w:cs="IRBadr" w:hint="cs"/>
          <w:color w:val="0000FF"/>
          <w:rtl/>
        </w:rPr>
        <w:t>في</w:t>
      </w:r>
      <w:r w:rsidR="00307CCA" w:rsidRPr="00AC6759">
        <w:rPr>
          <w:rFonts w:ascii="IRBadr" w:hAnsi="IRBadr" w:cs="IRBadr"/>
          <w:color w:val="0000FF"/>
          <w:rtl/>
        </w:rPr>
        <w:t xml:space="preserve"> </w:t>
      </w:r>
      <w:r w:rsidR="00307CCA" w:rsidRPr="00AC6759">
        <w:rPr>
          <w:rFonts w:ascii="IRBadr" w:hAnsi="IRBadr" w:cs="IRBadr" w:hint="cs"/>
          <w:color w:val="0000FF"/>
          <w:rtl/>
        </w:rPr>
        <w:t>الذمة</w:t>
      </w:r>
      <w:r>
        <w:rPr>
          <w:rFonts w:ascii="IRBadr" w:hAnsi="IRBadr" w:cs="IRBadr" w:hint="cs"/>
          <w:color w:val="0000FF"/>
          <w:rtl/>
        </w:rPr>
        <w:t>»</w:t>
      </w:r>
      <w:r>
        <w:rPr>
          <w:rStyle w:val="FootnoteReference"/>
          <w:rFonts w:ascii="IRBadr" w:hAnsi="IRBadr" w:cs="IRBadr"/>
          <w:color w:val="0000FF"/>
          <w:rtl/>
        </w:rPr>
        <w:footnoteReference w:id="4"/>
      </w:r>
      <w:r w:rsidR="00307CCA" w:rsidRPr="00307CCA">
        <w:rPr>
          <w:rFonts w:ascii="IRBadr" w:hAnsi="IRBadr" w:cs="IRBadr"/>
          <w:rtl/>
        </w:rPr>
        <w:t>.</w:t>
      </w:r>
    </w:p>
    <w:p w:rsidR="00AC6759" w:rsidRDefault="00AC6759" w:rsidP="00307CCA">
      <w:pPr>
        <w:rPr>
          <w:rFonts w:ascii="IRBadr" w:hAnsi="IRBadr" w:cs="IRBadr"/>
          <w:rtl/>
        </w:rPr>
      </w:pPr>
      <w:r>
        <w:rPr>
          <w:rFonts w:ascii="IRBadr" w:hAnsi="IRBadr" w:cs="IRBadr" w:hint="cs"/>
          <w:rtl/>
        </w:rPr>
        <w:t>در این عبارت نیز اصل تعلّق زکات به عین منشا تقدّم زکات است؛ نه آنکه اصل تقدّم زکات مسلّم باشد.</w:t>
      </w:r>
    </w:p>
    <w:p w:rsidR="00037966" w:rsidRDefault="00037966" w:rsidP="00037966">
      <w:pPr>
        <w:pStyle w:val="Heading2"/>
        <w:rPr>
          <w:rtl/>
        </w:rPr>
      </w:pPr>
      <w:bookmarkStart w:id="20" w:name="_Toc157208296"/>
      <w:bookmarkStart w:id="21" w:name="_Toc157292274"/>
      <w:bookmarkStart w:id="22" w:name="_Toc157292301"/>
      <w:bookmarkStart w:id="23" w:name="_Toc157292342"/>
      <w:bookmarkStart w:id="24" w:name="_Toc157295849"/>
      <w:r>
        <w:rPr>
          <w:rFonts w:hint="cs"/>
          <w:rtl/>
        </w:rPr>
        <w:t>دلیل چهارم صاحب مدارک</w:t>
      </w:r>
      <w:bookmarkEnd w:id="20"/>
      <w:bookmarkEnd w:id="21"/>
      <w:bookmarkEnd w:id="22"/>
      <w:r w:rsidR="00283EDE">
        <w:rPr>
          <w:rFonts w:hint="cs"/>
          <w:rtl/>
        </w:rPr>
        <w:t>: تلف زکات</w:t>
      </w:r>
      <w:bookmarkEnd w:id="23"/>
      <w:bookmarkEnd w:id="24"/>
    </w:p>
    <w:p w:rsidR="00037966" w:rsidRDefault="00037966" w:rsidP="00037966">
      <w:pPr>
        <w:rPr>
          <w:rFonts w:ascii="IRBadr" w:hAnsi="IRBadr" w:cs="IRBadr"/>
          <w:color w:val="0000FF"/>
          <w:rtl/>
        </w:rPr>
      </w:pPr>
      <w:r>
        <w:rPr>
          <w:rFonts w:ascii="IRBadr" w:hAnsi="IRBadr" w:cs="IRBadr" w:hint="cs"/>
          <w:color w:val="0000FF"/>
          <w:rtl/>
        </w:rPr>
        <w:t>«اگر قسمتی از نصاب یا تمام آن از بین برود بنابر قول به ذمّه نباید زکات از بین برود یا به نسبت کم شود، و اگر مثلا نصف نصاب از بین رفته، نصف زکات از میان برود، در حالی که قطعا با تلف تمام یا جزئی از نصاب، تمام یا جزئی از زکات کاسته می‌گردد»</w:t>
      </w:r>
      <w:r>
        <w:rPr>
          <w:rStyle w:val="FootnoteReference"/>
          <w:rFonts w:ascii="IRBadr" w:hAnsi="IRBadr" w:cs="IRBadr"/>
          <w:color w:val="0000FF"/>
          <w:rtl/>
        </w:rPr>
        <w:footnoteReference w:id="5"/>
      </w:r>
      <w:r w:rsidRPr="009C3B89">
        <w:rPr>
          <w:rFonts w:ascii="IRBadr" w:hAnsi="IRBadr" w:cs="IRBadr" w:hint="cs"/>
          <w:color w:val="0000FF"/>
          <w:rtl/>
        </w:rPr>
        <w:t>.</w:t>
      </w:r>
    </w:p>
    <w:p w:rsidR="00037966" w:rsidRDefault="00037966" w:rsidP="003F16F7">
      <w:pPr>
        <w:rPr>
          <w:rFonts w:ascii="IRBadr" w:hAnsi="IRBadr" w:cs="IRBadr"/>
          <w:rtl/>
        </w:rPr>
      </w:pPr>
      <w:r w:rsidRPr="00037966">
        <w:rPr>
          <w:rFonts w:ascii="IRBadr" w:hAnsi="IRBadr" w:cs="IRBadr" w:hint="cs"/>
          <w:rtl/>
        </w:rPr>
        <w:t>ما</w:t>
      </w:r>
      <w:r>
        <w:rPr>
          <w:rFonts w:ascii="IRBadr" w:hAnsi="IRBadr" w:cs="IRBadr" w:hint="cs"/>
          <w:rtl/>
        </w:rPr>
        <w:t xml:space="preserve"> به مدارک رجوع نکردیم تا معلوم شود که مراد ایشان، تلف همراه با تفریط است یا تلف بدون تفریط. </w:t>
      </w:r>
      <w:r w:rsidR="003F16F7">
        <w:rPr>
          <w:rFonts w:ascii="IRBadr" w:hAnsi="IRBadr" w:cs="IRBadr" w:hint="cs"/>
          <w:rtl/>
        </w:rPr>
        <w:t>بعید است</w:t>
      </w:r>
      <w:r>
        <w:rPr>
          <w:rFonts w:ascii="IRBadr" w:hAnsi="IRBadr" w:cs="IRBadr" w:hint="cs"/>
          <w:rtl/>
        </w:rPr>
        <w:t xml:space="preserve"> مراد ایشان، تلف همراه با تفریط </w:t>
      </w:r>
      <w:r w:rsidR="003F16F7">
        <w:rPr>
          <w:rFonts w:ascii="IRBadr" w:hAnsi="IRBadr" w:cs="IRBadr" w:hint="cs"/>
          <w:rtl/>
        </w:rPr>
        <w:t>باشد؛ چرا که با وجود تفریط، از زکات چیزی کم نمی‌شود. بیان شد که در این مساله روایات متعدّدی وارد شده است، و برای روشن شدن مساله باید بین آن روایات جمع نمود. برخی از روایات این مساله مطلق و برخی مقیّد به قیودی شده است. بطلان تالی در دلیل چهارم، وابسته به آن مساله است.</w:t>
      </w:r>
    </w:p>
    <w:p w:rsidR="003F16F7" w:rsidRDefault="003F16F7" w:rsidP="003F16F7">
      <w:pPr>
        <w:pStyle w:val="Heading2"/>
        <w:rPr>
          <w:rtl/>
        </w:rPr>
      </w:pPr>
      <w:bookmarkStart w:id="25" w:name="_Toc157208304"/>
      <w:bookmarkStart w:id="26" w:name="_Toc157292275"/>
      <w:bookmarkStart w:id="27" w:name="_Toc157292302"/>
      <w:bookmarkStart w:id="28" w:name="_Toc157292343"/>
      <w:bookmarkStart w:id="29" w:name="_Toc157295850"/>
      <w:r>
        <w:rPr>
          <w:rFonts w:hint="cs"/>
          <w:rtl/>
        </w:rPr>
        <w:t>دلیل پنجم صاحب مدارک</w:t>
      </w:r>
      <w:bookmarkEnd w:id="25"/>
      <w:bookmarkEnd w:id="26"/>
      <w:bookmarkEnd w:id="27"/>
      <w:r w:rsidR="00283EDE">
        <w:rPr>
          <w:rFonts w:hint="cs"/>
          <w:rtl/>
        </w:rPr>
        <w:t>: رجوع به مشتری زکات</w:t>
      </w:r>
      <w:bookmarkEnd w:id="28"/>
      <w:bookmarkEnd w:id="29"/>
    </w:p>
    <w:p w:rsidR="003F16F7" w:rsidRDefault="003F16F7" w:rsidP="003F16F7">
      <w:pPr>
        <w:rPr>
          <w:rFonts w:ascii="IRBadr" w:hAnsi="IRBadr" w:cs="IRBadr"/>
          <w:rtl/>
        </w:rPr>
      </w:pPr>
      <w:r>
        <w:rPr>
          <w:rFonts w:ascii="IRBadr" w:hAnsi="IRBadr" w:cs="IRBadr" w:hint="cs"/>
          <w:color w:val="0000FF"/>
          <w:rtl/>
        </w:rPr>
        <w:t>«</w:t>
      </w:r>
      <w:r w:rsidRPr="009721E0">
        <w:rPr>
          <w:rFonts w:ascii="IRBadr" w:hAnsi="IRBadr" w:cs="IRBadr" w:hint="cs"/>
          <w:color w:val="0000FF"/>
          <w:rtl/>
        </w:rPr>
        <w:t>اگر زکات متعلق به ذمه باشد</w:t>
      </w:r>
      <w:r>
        <w:rPr>
          <w:rFonts w:ascii="IRBadr" w:hAnsi="IRBadr" w:cs="IRBadr" w:hint="cs"/>
          <w:color w:val="0000FF"/>
          <w:rtl/>
        </w:rPr>
        <w:t>،</w:t>
      </w:r>
      <w:r w:rsidRPr="009721E0">
        <w:rPr>
          <w:rFonts w:ascii="IRBadr" w:hAnsi="IRBadr" w:cs="IRBadr" w:hint="cs"/>
          <w:color w:val="0000FF"/>
          <w:rtl/>
        </w:rPr>
        <w:t xml:space="preserve"> اگر مالک عین زکوی را به فروشنده بفروشد ساعی نمی‌تواند از مشتری </w:t>
      </w:r>
      <w:r>
        <w:rPr>
          <w:rFonts w:ascii="IRBadr" w:hAnsi="IRBadr" w:cs="IRBadr" w:hint="cs"/>
          <w:color w:val="0000FF"/>
          <w:rtl/>
        </w:rPr>
        <w:t>زکات</w:t>
      </w:r>
      <w:r w:rsidRPr="009721E0">
        <w:rPr>
          <w:rFonts w:ascii="IRBadr" w:hAnsi="IRBadr" w:cs="IRBadr" w:hint="cs"/>
          <w:color w:val="0000FF"/>
          <w:rtl/>
        </w:rPr>
        <w:t xml:space="preserve"> را مطالبه کند</w:t>
      </w:r>
      <w:r>
        <w:rPr>
          <w:rFonts w:ascii="IRBadr" w:hAnsi="IRBadr" w:cs="IRBadr" w:hint="cs"/>
          <w:color w:val="0000FF"/>
          <w:rtl/>
        </w:rPr>
        <w:t>، در حالی که بی‌تردید ساعی می‌تواند تتبّع عین کرده، زکات آن را از مشت</w:t>
      </w:r>
      <w:r w:rsidRPr="009721E0">
        <w:rPr>
          <w:rFonts w:ascii="IRBadr" w:hAnsi="IRBadr" w:cs="IRBadr" w:hint="cs"/>
          <w:color w:val="0000FF"/>
          <w:rtl/>
        </w:rPr>
        <w:t>ری بخواهد</w:t>
      </w:r>
      <w:r>
        <w:rPr>
          <w:rFonts w:ascii="IRBadr" w:hAnsi="IRBadr" w:cs="IRBadr" w:hint="cs"/>
          <w:color w:val="0000FF"/>
          <w:rtl/>
        </w:rPr>
        <w:t>»</w:t>
      </w:r>
      <w:r>
        <w:rPr>
          <w:rStyle w:val="FootnoteReference"/>
          <w:rFonts w:ascii="IRBadr" w:hAnsi="IRBadr" w:cs="IRBadr"/>
          <w:color w:val="0000FF"/>
          <w:rtl/>
        </w:rPr>
        <w:footnoteReference w:id="6"/>
      </w:r>
      <w:r>
        <w:rPr>
          <w:rFonts w:ascii="IRBadr" w:hAnsi="IRBadr" w:cs="IRBadr" w:hint="cs"/>
          <w:rtl/>
        </w:rPr>
        <w:t>.</w:t>
      </w:r>
    </w:p>
    <w:p w:rsidR="003F16F7" w:rsidRDefault="003F16F7" w:rsidP="00367E2E">
      <w:pPr>
        <w:rPr>
          <w:rFonts w:ascii="IRBadr" w:hAnsi="IRBadr" w:cs="IRBadr"/>
          <w:rtl/>
        </w:rPr>
      </w:pPr>
      <w:r>
        <w:rPr>
          <w:rFonts w:ascii="IRBadr" w:hAnsi="IRBadr" w:cs="IRBadr" w:hint="cs"/>
          <w:rtl/>
        </w:rPr>
        <w:t xml:space="preserve">آنکه ایشان تعبیر به «بی‌تردید» نموده است، مطلب اینقدر واضح نیست. برخی قائل به این مساله نیستند. گویا مراد </w:t>
      </w:r>
      <w:r w:rsidR="00367E2E">
        <w:rPr>
          <w:rFonts w:ascii="IRBadr" w:hAnsi="IRBadr" w:cs="IRBadr" w:hint="cs"/>
          <w:rtl/>
        </w:rPr>
        <w:t>صاحب مدارک</w:t>
      </w:r>
      <w:r>
        <w:rPr>
          <w:rFonts w:ascii="IRBadr" w:hAnsi="IRBadr" w:cs="IRBadr" w:hint="cs"/>
          <w:rtl/>
        </w:rPr>
        <w:t xml:space="preserve"> آن باشد که روایات بر این مساله دلالت دارد. مرحوم کیدری در اصباح الشیعه بیان کرده است:</w:t>
      </w:r>
    </w:p>
    <w:p w:rsidR="003F16F7" w:rsidRDefault="003F16F7" w:rsidP="003F16F7">
      <w:pPr>
        <w:rPr>
          <w:rFonts w:ascii="IRBadr" w:hAnsi="IRBadr" w:cs="IRBadr"/>
          <w:rtl/>
        </w:rPr>
      </w:pPr>
      <w:r>
        <w:rPr>
          <w:rFonts w:ascii="IRBadr" w:hAnsi="IRBadr" w:cs="IRBadr" w:hint="cs"/>
          <w:color w:val="0000FF"/>
          <w:rtl/>
        </w:rPr>
        <w:t>«</w:t>
      </w:r>
      <w:r w:rsidRPr="003F16F7">
        <w:rPr>
          <w:rFonts w:ascii="IRBadr" w:hAnsi="IRBadr" w:cs="IRBadr" w:hint="cs"/>
          <w:color w:val="0000FF"/>
          <w:rtl/>
        </w:rPr>
        <w:t>من</w:t>
      </w:r>
      <w:r w:rsidRPr="003F16F7">
        <w:rPr>
          <w:rFonts w:ascii="IRBadr" w:hAnsi="IRBadr" w:cs="IRBadr"/>
          <w:color w:val="0000FF"/>
          <w:rtl/>
        </w:rPr>
        <w:t xml:space="preserve"> </w:t>
      </w:r>
      <w:r w:rsidRPr="003F16F7">
        <w:rPr>
          <w:rFonts w:ascii="IRBadr" w:hAnsi="IRBadr" w:cs="IRBadr" w:hint="cs"/>
          <w:color w:val="0000FF"/>
          <w:rtl/>
        </w:rPr>
        <w:t>باع</w:t>
      </w:r>
      <w:r w:rsidRPr="003F16F7">
        <w:rPr>
          <w:rFonts w:ascii="IRBadr" w:hAnsi="IRBadr" w:cs="IRBadr"/>
          <w:color w:val="0000FF"/>
          <w:rtl/>
        </w:rPr>
        <w:t xml:space="preserve"> </w:t>
      </w:r>
      <w:r w:rsidRPr="003F16F7">
        <w:rPr>
          <w:rFonts w:ascii="IRBadr" w:hAnsi="IRBadr" w:cs="IRBadr" w:hint="cs"/>
          <w:color w:val="0000FF"/>
          <w:rtl/>
        </w:rPr>
        <w:t>نصابا</w:t>
      </w:r>
      <w:r w:rsidRPr="003F16F7">
        <w:rPr>
          <w:rFonts w:ascii="IRBadr" w:hAnsi="IRBadr" w:cs="IRBadr"/>
          <w:color w:val="0000FF"/>
          <w:rtl/>
        </w:rPr>
        <w:t xml:space="preserve"> </w:t>
      </w:r>
      <w:r w:rsidRPr="003F16F7">
        <w:rPr>
          <w:rFonts w:ascii="IRBadr" w:hAnsi="IRBadr" w:cs="IRBadr" w:hint="cs"/>
          <w:color w:val="0000FF"/>
          <w:rtl/>
        </w:rPr>
        <w:t>قبل</w:t>
      </w:r>
      <w:r w:rsidRPr="003F16F7">
        <w:rPr>
          <w:rFonts w:ascii="IRBadr" w:hAnsi="IRBadr" w:cs="IRBadr"/>
          <w:color w:val="0000FF"/>
          <w:rtl/>
        </w:rPr>
        <w:t xml:space="preserve"> </w:t>
      </w:r>
      <w:r w:rsidRPr="003F16F7">
        <w:rPr>
          <w:rFonts w:ascii="IRBadr" w:hAnsi="IRBadr" w:cs="IRBadr" w:hint="cs"/>
          <w:color w:val="0000FF"/>
          <w:rtl/>
        </w:rPr>
        <w:t>إخراج</w:t>
      </w:r>
      <w:r w:rsidRPr="003F16F7">
        <w:rPr>
          <w:rFonts w:ascii="IRBadr" w:hAnsi="IRBadr" w:cs="IRBadr"/>
          <w:color w:val="0000FF"/>
          <w:rtl/>
        </w:rPr>
        <w:t xml:space="preserve"> </w:t>
      </w:r>
      <w:r w:rsidRPr="003F16F7">
        <w:rPr>
          <w:rFonts w:ascii="IRBadr" w:hAnsi="IRBadr" w:cs="IRBadr" w:hint="cs"/>
          <w:color w:val="0000FF"/>
          <w:rtl/>
        </w:rPr>
        <w:t>الزكاة</w:t>
      </w:r>
      <w:r w:rsidRPr="003F16F7">
        <w:rPr>
          <w:rFonts w:ascii="IRBadr" w:hAnsi="IRBadr" w:cs="IRBadr"/>
          <w:color w:val="0000FF"/>
          <w:rtl/>
        </w:rPr>
        <w:t xml:space="preserve"> </w:t>
      </w:r>
      <w:r w:rsidRPr="003F16F7">
        <w:rPr>
          <w:rFonts w:ascii="IRBadr" w:hAnsi="IRBadr" w:cs="IRBadr" w:hint="cs"/>
          <w:color w:val="0000FF"/>
          <w:rtl/>
        </w:rPr>
        <w:t>منه</w:t>
      </w:r>
      <w:r w:rsidRPr="003F16F7">
        <w:rPr>
          <w:rFonts w:ascii="IRBadr" w:hAnsi="IRBadr" w:cs="IRBadr"/>
          <w:color w:val="0000FF"/>
          <w:rtl/>
        </w:rPr>
        <w:t xml:space="preserve"> </w:t>
      </w:r>
      <w:r w:rsidRPr="003F16F7">
        <w:rPr>
          <w:rFonts w:ascii="IRBadr" w:hAnsi="IRBadr" w:cs="IRBadr" w:hint="cs"/>
          <w:color w:val="0000FF"/>
          <w:rtl/>
        </w:rPr>
        <w:t>انعقد</w:t>
      </w:r>
      <w:r w:rsidRPr="003F16F7">
        <w:rPr>
          <w:rFonts w:ascii="IRBadr" w:hAnsi="IRBadr" w:cs="IRBadr"/>
          <w:color w:val="0000FF"/>
          <w:rtl/>
        </w:rPr>
        <w:t xml:space="preserve"> </w:t>
      </w:r>
      <w:r w:rsidRPr="003F16F7">
        <w:rPr>
          <w:rFonts w:ascii="IRBadr" w:hAnsi="IRBadr" w:cs="IRBadr" w:hint="cs"/>
          <w:color w:val="0000FF"/>
          <w:rtl/>
        </w:rPr>
        <w:t>البيع</w:t>
      </w:r>
      <w:r w:rsidRPr="003F16F7">
        <w:rPr>
          <w:rFonts w:ascii="IRBadr" w:hAnsi="IRBadr" w:cs="IRBadr"/>
          <w:color w:val="0000FF"/>
          <w:rtl/>
        </w:rPr>
        <w:t xml:space="preserve"> </w:t>
      </w:r>
      <w:r w:rsidRPr="003F16F7">
        <w:rPr>
          <w:rFonts w:ascii="IRBadr" w:hAnsi="IRBadr" w:cs="IRBadr" w:hint="cs"/>
          <w:color w:val="0000FF"/>
          <w:rtl/>
        </w:rPr>
        <w:t>في</w:t>
      </w:r>
      <w:r w:rsidRPr="003F16F7">
        <w:rPr>
          <w:rFonts w:ascii="IRBadr" w:hAnsi="IRBadr" w:cs="IRBadr"/>
          <w:color w:val="0000FF"/>
          <w:rtl/>
        </w:rPr>
        <w:t xml:space="preserve"> </w:t>
      </w:r>
      <w:r w:rsidRPr="003F16F7">
        <w:rPr>
          <w:rFonts w:ascii="IRBadr" w:hAnsi="IRBadr" w:cs="IRBadr" w:hint="cs"/>
          <w:color w:val="0000FF"/>
          <w:rtl/>
        </w:rPr>
        <w:t>حقه</w:t>
      </w:r>
      <w:r w:rsidRPr="003F16F7">
        <w:rPr>
          <w:rFonts w:ascii="IRBadr" w:hAnsi="IRBadr" w:cs="IRBadr"/>
          <w:color w:val="0000FF"/>
          <w:rtl/>
        </w:rPr>
        <w:t xml:space="preserve"> </w:t>
      </w:r>
      <w:r w:rsidRPr="003F16F7">
        <w:rPr>
          <w:rFonts w:ascii="IRBadr" w:hAnsi="IRBadr" w:cs="IRBadr" w:hint="cs"/>
          <w:color w:val="0000FF"/>
          <w:rtl/>
        </w:rPr>
        <w:t>دون</w:t>
      </w:r>
      <w:r w:rsidRPr="003F16F7">
        <w:rPr>
          <w:rFonts w:ascii="IRBadr" w:hAnsi="IRBadr" w:cs="IRBadr"/>
          <w:color w:val="0000FF"/>
          <w:rtl/>
        </w:rPr>
        <w:t xml:space="preserve"> </w:t>
      </w:r>
      <w:r w:rsidRPr="003F16F7">
        <w:rPr>
          <w:rFonts w:ascii="IRBadr" w:hAnsi="IRBadr" w:cs="IRBadr" w:hint="cs"/>
          <w:color w:val="0000FF"/>
          <w:rtl/>
        </w:rPr>
        <w:t>حق</w:t>
      </w:r>
      <w:r w:rsidRPr="003F16F7">
        <w:rPr>
          <w:rFonts w:ascii="IRBadr" w:hAnsi="IRBadr" w:cs="IRBadr"/>
          <w:color w:val="0000FF"/>
          <w:rtl/>
        </w:rPr>
        <w:t xml:space="preserve"> </w:t>
      </w:r>
      <w:r w:rsidRPr="003F16F7">
        <w:rPr>
          <w:rFonts w:ascii="IRBadr" w:hAnsi="IRBadr" w:cs="IRBadr" w:hint="cs"/>
          <w:color w:val="0000FF"/>
          <w:rtl/>
        </w:rPr>
        <w:t>المساكين</w:t>
      </w:r>
      <w:r w:rsidRPr="003F16F7">
        <w:rPr>
          <w:rFonts w:ascii="IRBadr" w:hAnsi="IRBadr" w:cs="IRBadr"/>
          <w:color w:val="0000FF"/>
          <w:rtl/>
        </w:rPr>
        <w:t xml:space="preserve"> </w:t>
      </w:r>
      <w:r w:rsidRPr="003F16F7">
        <w:rPr>
          <w:rFonts w:ascii="IRBadr" w:hAnsi="IRBadr" w:cs="IRBadr" w:hint="cs"/>
          <w:color w:val="0000FF"/>
          <w:rtl/>
        </w:rPr>
        <w:t>لأن</w:t>
      </w:r>
      <w:r w:rsidRPr="003F16F7">
        <w:rPr>
          <w:rFonts w:ascii="IRBadr" w:hAnsi="IRBadr" w:cs="IRBadr"/>
          <w:color w:val="0000FF"/>
          <w:rtl/>
        </w:rPr>
        <w:t xml:space="preserve"> </w:t>
      </w:r>
      <w:r w:rsidRPr="003F16F7">
        <w:rPr>
          <w:rFonts w:ascii="IRBadr" w:hAnsi="IRBadr" w:cs="IRBadr" w:hint="cs"/>
          <w:color w:val="0000FF"/>
          <w:rtl/>
        </w:rPr>
        <w:t>حقهم</w:t>
      </w:r>
      <w:r w:rsidRPr="003F16F7">
        <w:rPr>
          <w:rFonts w:ascii="IRBadr" w:hAnsi="IRBadr" w:cs="IRBadr"/>
          <w:color w:val="0000FF"/>
          <w:rtl/>
        </w:rPr>
        <w:t xml:space="preserve"> </w:t>
      </w:r>
      <w:r w:rsidRPr="003F16F7">
        <w:rPr>
          <w:rFonts w:ascii="IRBadr" w:hAnsi="IRBadr" w:cs="IRBadr" w:hint="cs"/>
          <w:color w:val="0000FF"/>
          <w:rtl/>
        </w:rPr>
        <w:t>تعلق</w:t>
      </w:r>
      <w:r w:rsidRPr="003F16F7">
        <w:rPr>
          <w:rFonts w:ascii="IRBadr" w:hAnsi="IRBadr" w:cs="IRBadr"/>
          <w:color w:val="0000FF"/>
          <w:rtl/>
        </w:rPr>
        <w:t xml:space="preserve"> </w:t>
      </w:r>
      <w:r w:rsidRPr="003F16F7">
        <w:rPr>
          <w:rFonts w:ascii="IRBadr" w:hAnsi="IRBadr" w:cs="IRBadr" w:hint="cs"/>
          <w:color w:val="0000FF"/>
          <w:rtl/>
        </w:rPr>
        <w:t>بالعين</w:t>
      </w:r>
      <w:r w:rsidRPr="003F16F7">
        <w:rPr>
          <w:rFonts w:ascii="IRBadr" w:hAnsi="IRBadr" w:cs="IRBadr"/>
          <w:color w:val="0000FF"/>
          <w:rtl/>
        </w:rPr>
        <w:t xml:space="preserve"> </w:t>
      </w:r>
      <w:r w:rsidRPr="003F16F7">
        <w:rPr>
          <w:rFonts w:ascii="IRBadr" w:hAnsi="IRBadr" w:cs="IRBadr" w:hint="cs"/>
          <w:color w:val="0000FF"/>
          <w:rtl/>
        </w:rPr>
        <w:t>لا</w:t>
      </w:r>
      <w:r w:rsidRPr="003F16F7">
        <w:rPr>
          <w:rFonts w:ascii="IRBadr" w:hAnsi="IRBadr" w:cs="IRBadr"/>
          <w:color w:val="0000FF"/>
          <w:rtl/>
        </w:rPr>
        <w:t xml:space="preserve"> </w:t>
      </w:r>
      <w:r w:rsidRPr="003F16F7">
        <w:rPr>
          <w:rFonts w:ascii="IRBadr" w:hAnsi="IRBadr" w:cs="IRBadr" w:hint="cs"/>
          <w:color w:val="0000FF"/>
          <w:rtl/>
        </w:rPr>
        <w:t>بالذمة</w:t>
      </w:r>
      <w:r>
        <w:rPr>
          <w:rFonts w:ascii="IRBadr" w:hAnsi="IRBadr" w:cs="IRBadr" w:hint="cs"/>
          <w:color w:val="0000FF"/>
          <w:rtl/>
        </w:rPr>
        <w:t>»</w:t>
      </w:r>
      <w:r w:rsidRPr="003F16F7">
        <w:rPr>
          <w:rStyle w:val="FootnoteReference"/>
          <w:rFonts w:ascii="IRBadr" w:hAnsi="IRBadr" w:cs="IRBadr"/>
          <w:color w:val="0000FF"/>
          <w:rtl/>
        </w:rPr>
        <w:footnoteReference w:id="7"/>
      </w:r>
      <w:r>
        <w:rPr>
          <w:rFonts w:ascii="IRBadr" w:hAnsi="IRBadr" w:cs="IRBadr" w:hint="cs"/>
          <w:rtl/>
        </w:rPr>
        <w:t>.</w:t>
      </w:r>
    </w:p>
    <w:p w:rsidR="003F16F7" w:rsidRDefault="003F16F7" w:rsidP="003F16F7">
      <w:pPr>
        <w:rPr>
          <w:rFonts w:ascii="IRBadr" w:hAnsi="IRBadr" w:cs="IRBadr"/>
          <w:rtl/>
        </w:rPr>
      </w:pPr>
      <w:r>
        <w:rPr>
          <w:rFonts w:ascii="IRBadr" w:hAnsi="IRBadr" w:cs="IRBadr" w:hint="cs"/>
          <w:rtl/>
        </w:rPr>
        <w:t>ایشان از اساس، بیع را صحیح نمی‌داند.</w:t>
      </w:r>
      <w:r w:rsidR="00493862">
        <w:rPr>
          <w:rFonts w:ascii="IRBadr" w:hAnsi="IRBadr" w:cs="IRBadr" w:hint="cs"/>
          <w:rtl/>
        </w:rPr>
        <w:t xml:space="preserve"> صاحب مدراک صحّت بیع و رجوع به مشتری را مسلّم دانسته‌ است. این مساله مسلّم نیست، ولی روایات بر این مساله دلالت دارد. روایت عبدالرحمان بن ابی ‌عبدالله دلالت دارد بر آنکه بیع صحیح است و ساعی می‌تواند به مشتری رجوع نماید. </w:t>
      </w:r>
    </w:p>
    <w:p w:rsidR="00A12C84" w:rsidRDefault="00A12C84" w:rsidP="00A12C84">
      <w:pPr>
        <w:pStyle w:val="Heading3"/>
        <w:rPr>
          <w:rtl/>
        </w:rPr>
      </w:pPr>
      <w:bookmarkStart w:id="30" w:name="_Toc157292276"/>
      <w:bookmarkStart w:id="31" w:name="_Toc157292303"/>
      <w:bookmarkStart w:id="32" w:name="_Toc157292344"/>
      <w:bookmarkStart w:id="33" w:name="_Toc157295851"/>
      <w:r>
        <w:rPr>
          <w:rFonts w:hint="cs"/>
          <w:rtl/>
        </w:rPr>
        <w:lastRenderedPageBreak/>
        <w:t>پاسخ آیت الله والد به دلیل پنجم</w:t>
      </w:r>
      <w:bookmarkEnd w:id="30"/>
      <w:bookmarkEnd w:id="31"/>
      <w:bookmarkEnd w:id="32"/>
      <w:bookmarkEnd w:id="33"/>
    </w:p>
    <w:p w:rsidR="00314FBF" w:rsidRDefault="00493862" w:rsidP="00C6621B">
      <w:pPr>
        <w:rPr>
          <w:rFonts w:ascii="IRBadr" w:hAnsi="IRBadr" w:cs="IRBadr"/>
          <w:rtl/>
        </w:rPr>
      </w:pPr>
      <w:r>
        <w:rPr>
          <w:rFonts w:ascii="IRBadr" w:hAnsi="IRBadr" w:cs="IRBadr" w:hint="cs"/>
          <w:rtl/>
        </w:rPr>
        <w:t xml:space="preserve">آیت الله والد در مقام پاسخ بیان نموده‌اند که ممکن است زکات به عین تعلّق نگرفته بلکه به ذمّه تعلّق گرفته باشد، و با این حال ساعی بتواند مشتری را مؤاخذه نماید؛ چرا که ممکن است زکات به ذمّه شخص بایع تعلّق نگرفته </w:t>
      </w:r>
      <w:r w:rsidR="00C6621B">
        <w:rPr>
          <w:rFonts w:ascii="IRBadr" w:hAnsi="IRBadr" w:cs="IRBadr" w:hint="cs"/>
          <w:rtl/>
        </w:rPr>
        <w:t>باشد</w:t>
      </w:r>
      <w:r>
        <w:rPr>
          <w:rFonts w:ascii="IRBadr" w:hAnsi="IRBadr" w:cs="IRBadr" w:hint="cs"/>
          <w:rtl/>
        </w:rPr>
        <w:t>؛ بلکه زکات بر ذمّه مالک</w:t>
      </w:r>
      <w:r w:rsidR="00C6621B">
        <w:rPr>
          <w:rFonts w:ascii="IRBadr" w:hAnsi="IRBadr" w:cs="IRBadr" w:hint="cs"/>
          <w:rtl/>
        </w:rPr>
        <w:t>ِ</w:t>
      </w:r>
      <w:r>
        <w:rPr>
          <w:rFonts w:ascii="IRBadr" w:hAnsi="IRBadr" w:cs="IRBadr" w:hint="cs"/>
          <w:rtl/>
        </w:rPr>
        <w:t xml:space="preserve"> عین زکوی است.</w:t>
      </w:r>
      <w:r w:rsidR="00C6621B">
        <w:rPr>
          <w:rFonts w:ascii="IRBadr" w:hAnsi="IRBadr" w:cs="IRBadr" w:hint="cs"/>
          <w:rtl/>
        </w:rPr>
        <w:t xml:space="preserve"> هر کسی مالک شود، زکات به ذمّه او می‌آید.</w:t>
      </w:r>
      <w:r>
        <w:rPr>
          <w:rFonts w:ascii="IRBadr" w:hAnsi="IRBadr" w:cs="IRBadr" w:hint="cs"/>
          <w:rtl/>
        </w:rPr>
        <w:t xml:space="preserve"> این امر امکان دارد. به عنوان مثال، نفقه اقارب محتاج، بر قریب متمکّن است. این قریب متمکّن در برخی موارد یک شخص است که تا وقتی متمکّن است باید نفقه را پرداخت نماید. وقتی این شخص از تمکّن خارج شد و دیگر متمکّن نبود، قریب متمکّن دیگری باید عهده‌دار شود. و همینطور افراد دیگر. اینکه یک دین بر یک عنوان کلّی باشد و مصادیق این عنوان تغییر کند، مساله‌ای است که در فقه نظیر دارد. محلّ بحث نیز ممکن است از آن قبیل باشد.</w:t>
      </w:r>
    </w:p>
    <w:p w:rsidR="00314FBF" w:rsidRPr="00307CCA" w:rsidRDefault="00314FBF" w:rsidP="00314FBF">
      <w:pPr>
        <w:rPr>
          <w:rFonts w:ascii="IRBadr" w:hAnsi="IRBadr" w:cs="IRBadr"/>
        </w:rPr>
      </w:pPr>
      <w:r>
        <w:rPr>
          <w:rFonts w:ascii="IRBadr" w:hAnsi="IRBadr" w:cs="IRBadr" w:hint="cs"/>
          <w:rtl/>
        </w:rPr>
        <w:t>توجّه شود که مراد از «المالک للعین» که ذمّه او مشغول است، شخصیّت حقوقی نیست</w:t>
      </w:r>
      <w:r w:rsidR="00A12C84">
        <w:rPr>
          <w:rFonts w:ascii="IRBadr" w:hAnsi="IRBadr" w:cs="IRBadr" w:hint="cs"/>
          <w:rtl/>
        </w:rPr>
        <w:t>؛ بلکه شخصیّت حقیقی متبدّل است.</w:t>
      </w:r>
    </w:p>
    <w:p w:rsidR="00493862" w:rsidRDefault="00A12C84" w:rsidP="00493862">
      <w:pPr>
        <w:rPr>
          <w:rFonts w:ascii="IRBadr" w:hAnsi="IRBadr" w:cs="IRBadr"/>
          <w:rtl/>
        </w:rPr>
      </w:pPr>
      <w:r>
        <w:rPr>
          <w:rFonts w:ascii="IRBadr" w:hAnsi="IRBadr" w:cs="IRBadr" w:hint="cs"/>
          <w:rtl/>
        </w:rPr>
        <w:t xml:space="preserve">آیت الله والد </w:t>
      </w:r>
      <w:r w:rsidR="00493862">
        <w:rPr>
          <w:rFonts w:ascii="IRBadr" w:hAnsi="IRBadr" w:cs="IRBadr" w:hint="cs"/>
          <w:rtl/>
        </w:rPr>
        <w:t>در ادامه یک اشکال مطرح نموده و به آن پاسخ گفته‌اند:</w:t>
      </w:r>
    </w:p>
    <w:p w:rsidR="00493862" w:rsidRDefault="00493862" w:rsidP="00493862">
      <w:pPr>
        <w:rPr>
          <w:rFonts w:ascii="IRBadr" w:hAnsi="IRBadr" w:cs="IRBadr"/>
          <w:color w:val="0000FF"/>
          <w:rtl/>
        </w:rPr>
      </w:pPr>
      <w:r w:rsidRPr="00493862">
        <w:rPr>
          <w:rFonts w:ascii="IRBadr" w:hAnsi="IRBadr" w:cs="IRBadr" w:hint="cs"/>
          <w:color w:val="0000FF"/>
          <w:rtl/>
        </w:rPr>
        <w:t>«</w:t>
      </w:r>
      <w:r w:rsidRPr="00493862">
        <w:rPr>
          <w:rFonts w:ascii="IRBadr" w:hAnsi="IRBadr" w:cs="IRBadr" w:hint="cs"/>
          <w:b/>
          <w:bCs/>
          <w:color w:val="0000FF"/>
          <w:rtl/>
        </w:rPr>
        <w:t>ان قلت</w:t>
      </w:r>
      <w:r w:rsidRPr="00493862">
        <w:rPr>
          <w:rFonts w:ascii="IRBadr" w:hAnsi="IRBadr" w:cs="IRBadr" w:hint="cs"/>
          <w:color w:val="0000FF"/>
          <w:rtl/>
        </w:rPr>
        <w:t xml:space="preserve">: از صحیحه عبدالرحمن بن ابی‌عبد الله استفاده می‌شود که ساعی می‌تواند هم به مشتری هم به بایع مراجعه کند و زکات این مال را بگیرد و آنچه بایع می‌دهد عین زکات است نه بدل آن؛ پس زکات متعلّق به عنوان مالک نیست چون فعلا بایع مالک نیست. </w:t>
      </w:r>
    </w:p>
    <w:p w:rsidR="00493862" w:rsidRPr="00493862" w:rsidRDefault="00493862" w:rsidP="00493862">
      <w:pPr>
        <w:rPr>
          <w:rFonts w:ascii="IRBadr" w:hAnsi="IRBadr" w:cs="IRBadr"/>
          <w:color w:val="0000FF"/>
          <w:rtl/>
        </w:rPr>
      </w:pPr>
      <w:r w:rsidRPr="00493862">
        <w:rPr>
          <w:rFonts w:ascii="IRBadr" w:hAnsi="IRBadr" w:cs="IRBadr" w:hint="cs"/>
          <w:b/>
          <w:bCs/>
          <w:color w:val="0000FF"/>
          <w:rtl/>
        </w:rPr>
        <w:t>قلت: اولا</w:t>
      </w:r>
      <w:r w:rsidRPr="00493862">
        <w:rPr>
          <w:rFonts w:ascii="IRBadr" w:hAnsi="IRBadr" w:cs="IRBadr" w:hint="cs"/>
          <w:color w:val="0000FF"/>
          <w:rtl/>
        </w:rPr>
        <w:t xml:space="preserve"> ممکن است زکات بر عهده مشتری باشد ولی چون بالاخره مشتری هم به بایع رجوع می‌کند و پس از پرداخت متشری ذمّه بایع به مشتری مدیون می‌گردد ممکن است شارع اجازه داده باشد که مستقیما ساعی به بایع مراجعه کند چرا که سرانجام مقدار زکات باید از دست او بیرون رود</w:t>
      </w:r>
    </w:p>
    <w:p w:rsidR="00493862" w:rsidRDefault="00493862" w:rsidP="00493862">
      <w:pPr>
        <w:rPr>
          <w:rFonts w:ascii="IRBadr" w:hAnsi="IRBadr" w:cs="IRBadr"/>
          <w:rtl/>
        </w:rPr>
      </w:pPr>
      <w:r w:rsidRPr="00493862">
        <w:rPr>
          <w:rFonts w:ascii="IRBadr" w:hAnsi="IRBadr" w:cs="IRBadr" w:hint="cs"/>
          <w:b/>
          <w:bCs/>
          <w:color w:val="0000FF"/>
          <w:rtl/>
        </w:rPr>
        <w:t xml:space="preserve">ثانیا </w:t>
      </w:r>
      <w:r w:rsidRPr="00493862">
        <w:rPr>
          <w:rFonts w:ascii="IRBadr" w:hAnsi="IRBadr" w:cs="IRBadr" w:hint="cs"/>
          <w:color w:val="0000FF"/>
          <w:rtl/>
        </w:rPr>
        <w:t>ممکن است هم ذمّه بایع مشغول باشد و هم ذمّه مشتری نظیر ضمان ید در جایی که مال غیر</w:t>
      </w:r>
      <w:r w:rsidR="00C6621B">
        <w:rPr>
          <w:rFonts w:ascii="IRBadr" w:hAnsi="IRBadr" w:cs="IRBadr" w:hint="cs"/>
          <w:color w:val="0000FF"/>
          <w:rtl/>
        </w:rPr>
        <w:t>، دست به دست می‌</w:t>
      </w:r>
      <w:r w:rsidRPr="00493862">
        <w:rPr>
          <w:rFonts w:ascii="IRBadr" w:hAnsi="IRBadr" w:cs="IRBadr" w:hint="cs"/>
          <w:color w:val="0000FF"/>
          <w:rtl/>
        </w:rPr>
        <w:t>گردد پس این صحیحه دلیل بر این نیست که زکات به عین تعلّق گرفته نه به ذمّه»</w:t>
      </w:r>
      <w:r w:rsidR="006969D9">
        <w:rPr>
          <w:rStyle w:val="FootnoteReference"/>
          <w:rFonts w:ascii="IRBadr" w:hAnsi="IRBadr" w:cs="IRBadr"/>
          <w:color w:val="0000FF"/>
          <w:rtl/>
        </w:rPr>
        <w:footnoteReference w:id="8"/>
      </w:r>
      <w:r>
        <w:rPr>
          <w:rFonts w:ascii="IRBadr" w:hAnsi="IRBadr" w:cs="IRBadr" w:hint="cs"/>
          <w:rtl/>
        </w:rPr>
        <w:t>.</w:t>
      </w:r>
    </w:p>
    <w:p w:rsidR="00A12C84" w:rsidRDefault="00A12C84" w:rsidP="00A12C84">
      <w:pPr>
        <w:pStyle w:val="Heading3"/>
        <w:rPr>
          <w:rtl/>
        </w:rPr>
      </w:pPr>
      <w:bookmarkStart w:id="34" w:name="_Toc157292277"/>
      <w:bookmarkStart w:id="35" w:name="_Toc157292304"/>
      <w:bookmarkStart w:id="36" w:name="_Toc157292345"/>
      <w:bookmarkStart w:id="37" w:name="_Toc157295852"/>
      <w:r>
        <w:rPr>
          <w:rFonts w:hint="cs"/>
          <w:rtl/>
        </w:rPr>
        <w:t>کلام استاد در رابطه با دلیل پنجم</w:t>
      </w:r>
      <w:bookmarkEnd w:id="34"/>
      <w:bookmarkEnd w:id="35"/>
      <w:bookmarkEnd w:id="36"/>
      <w:bookmarkEnd w:id="37"/>
    </w:p>
    <w:p w:rsidR="006969D9" w:rsidRDefault="006969D9" w:rsidP="00493862">
      <w:pPr>
        <w:rPr>
          <w:rFonts w:ascii="IRBadr" w:hAnsi="IRBadr" w:cs="IRBadr"/>
          <w:rtl/>
        </w:rPr>
      </w:pPr>
      <w:r>
        <w:rPr>
          <w:rFonts w:ascii="IRBadr" w:hAnsi="IRBadr" w:cs="IRBadr" w:hint="cs"/>
          <w:rtl/>
        </w:rPr>
        <w:t>در روایت عبدالرحمن بن ابی‌عبدالله وارد نشده است که ساعی می‌تواند به بایع رجوع نماید. بلکه بیان شده است که بایع می‌تواند زکات را پ</w:t>
      </w:r>
      <w:r w:rsidR="00C6621B">
        <w:rPr>
          <w:rFonts w:ascii="IRBadr" w:hAnsi="IRBadr" w:cs="IRBadr" w:hint="cs"/>
          <w:rtl/>
        </w:rPr>
        <w:t>رداخت نماید. متن روایت به این صورت است:</w:t>
      </w:r>
    </w:p>
    <w:p w:rsidR="006969D9" w:rsidRDefault="006969D9" w:rsidP="00493862">
      <w:pPr>
        <w:rPr>
          <w:rFonts w:ascii="IRBadr" w:hAnsi="IRBadr" w:cs="IRBadr"/>
          <w:rtl/>
        </w:rPr>
      </w:pPr>
      <w:r w:rsidRPr="001F740B">
        <w:rPr>
          <w:rFonts w:ascii="IRBadr" w:hAnsi="IRBadr" w:cs="IRBadr" w:hint="eastAsia"/>
          <w:color w:val="008000"/>
          <w:rtl/>
        </w:rPr>
        <w:t>«</w:t>
      </w:r>
      <w:r w:rsidRPr="001F740B">
        <w:rPr>
          <w:rFonts w:ascii="IRBadr" w:hAnsi="IRBadr" w:cs="IRBadr" w:hint="cs"/>
          <w:color w:val="8064A2" w:themeColor="accent4"/>
          <w:rtl/>
        </w:rPr>
        <w:t>حَمَّادُ</w:t>
      </w:r>
      <w:r w:rsidRPr="001F740B">
        <w:rPr>
          <w:rFonts w:ascii="IRBadr" w:hAnsi="IRBadr" w:cs="IRBadr"/>
          <w:color w:val="8064A2" w:themeColor="accent4"/>
          <w:rtl/>
        </w:rPr>
        <w:t xml:space="preserve"> </w:t>
      </w:r>
      <w:r w:rsidRPr="001F740B">
        <w:rPr>
          <w:rFonts w:ascii="IRBadr" w:hAnsi="IRBadr" w:cs="IRBadr" w:hint="cs"/>
          <w:color w:val="8064A2" w:themeColor="accent4"/>
          <w:rtl/>
        </w:rPr>
        <w:t>بْنُ</w:t>
      </w:r>
      <w:r w:rsidRPr="001F740B">
        <w:rPr>
          <w:rFonts w:ascii="IRBadr" w:hAnsi="IRBadr" w:cs="IRBadr"/>
          <w:color w:val="8064A2" w:themeColor="accent4"/>
          <w:rtl/>
        </w:rPr>
        <w:t xml:space="preserve"> </w:t>
      </w:r>
      <w:r w:rsidRPr="001F740B">
        <w:rPr>
          <w:rFonts w:ascii="IRBadr" w:hAnsi="IRBadr" w:cs="IRBadr" w:hint="cs"/>
          <w:color w:val="8064A2" w:themeColor="accent4"/>
          <w:rtl/>
        </w:rPr>
        <w:t>عِيسَى</w:t>
      </w:r>
      <w:r w:rsidRPr="001F740B">
        <w:rPr>
          <w:rFonts w:ascii="IRBadr" w:hAnsi="IRBadr" w:cs="IRBadr"/>
          <w:color w:val="8064A2" w:themeColor="accent4"/>
          <w:rtl/>
        </w:rPr>
        <w:t xml:space="preserve"> </w:t>
      </w:r>
      <w:r w:rsidRPr="001F740B">
        <w:rPr>
          <w:rFonts w:ascii="IRBadr" w:hAnsi="IRBadr" w:cs="IRBadr" w:hint="cs"/>
          <w:color w:val="8064A2" w:themeColor="accent4"/>
          <w:rtl/>
        </w:rPr>
        <w:t>عَنْ</w:t>
      </w:r>
      <w:r w:rsidRPr="001F740B">
        <w:rPr>
          <w:rFonts w:ascii="IRBadr" w:hAnsi="IRBadr" w:cs="IRBadr"/>
          <w:color w:val="8064A2" w:themeColor="accent4"/>
          <w:rtl/>
        </w:rPr>
        <w:t xml:space="preserve"> </w:t>
      </w:r>
      <w:r w:rsidRPr="001F740B">
        <w:rPr>
          <w:rFonts w:ascii="IRBadr" w:hAnsi="IRBadr" w:cs="IRBadr" w:hint="cs"/>
          <w:color w:val="8064A2" w:themeColor="accent4"/>
          <w:rtl/>
        </w:rPr>
        <w:t>حَرِيزٍ</w:t>
      </w:r>
      <w:r w:rsidRPr="001F740B">
        <w:rPr>
          <w:rFonts w:ascii="IRBadr" w:hAnsi="IRBadr" w:cs="IRBadr"/>
          <w:color w:val="8064A2" w:themeColor="accent4"/>
          <w:rtl/>
        </w:rPr>
        <w:t xml:space="preserve"> </w:t>
      </w:r>
      <w:r w:rsidRPr="001F740B">
        <w:rPr>
          <w:rFonts w:ascii="IRBadr" w:hAnsi="IRBadr" w:cs="IRBadr" w:hint="cs"/>
          <w:color w:val="8064A2" w:themeColor="accent4"/>
          <w:rtl/>
        </w:rPr>
        <w:t>عَنْ</w:t>
      </w:r>
      <w:r w:rsidRPr="001F740B">
        <w:rPr>
          <w:rFonts w:ascii="IRBadr" w:hAnsi="IRBadr" w:cs="IRBadr"/>
          <w:color w:val="8064A2" w:themeColor="accent4"/>
          <w:rtl/>
        </w:rPr>
        <w:t xml:space="preserve"> </w:t>
      </w:r>
      <w:r w:rsidRPr="001F740B">
        <w:rPr>
          <w:rFonts w:ascii="IRBadr" w:hAnsi="IRBadr" w:cs="IRBadr" w:hint="cs"/>
          <w:color w:val="8064A2" w:themeColor="accent4"/>
          <w:rtl/>
        </w:rPr>
        <w:t>عَبْدِ</w:t>
      </w:r>
      <w:r w:rsidRPr="001F740B">
        <w:rPr>
          <w:rFonts w:ascii="IRBadr" w:hAnsi="IRBadr" w:cs="IRBadr"/>
          <w:color w:val="8064A2" w:themeColor="accent4"/>
          <w:rtl/>
        </w:rPr>
        <w:t xml:space="preserve"> </w:t>
      </w:r>
      <w:r w:rsidRPr="001F740B">
        <w:rPr>
          <w:rFonts w:ascii="IRBadr" w:hAnsi="IRBadr" w:cs="IRBadr" w:hint="cs"/>
          <w:color w:val="8064A2" w:themeColor="accent4"/>
          <w:rtl/>
        </w:rPr>
        <w:t>الرَّحْمَنِ</w:t>
      </w:r>
      <w:r w:rsidRPr="001F740B">
        <w:rPr>
          <w:rFonts w:ascii="IRBadr" w:hAnsi="IRBadr" w:cs="IRBadr"/>
          <w:color w:val="8064A2" w:themeColor="accent4"/>
          <w:rtl/>
        </w:rPr>
        <w:t xml:space="preserve"> </w:t>
      </w:r>
      <w:r w:rsidRPr="001F740B">
        <w:rPr>
          <w:rFonts w:ascii="IRBadr" w:hAnsi="IRBadr" w:cs="IRBadr" w:hint="cs"/>
          <w:color w:val="8064A2" w:themeColor="accent4"/>
          <w:rtl/>
        </w:rPr>
        <w:t>بْنِ</w:t>
      </w:r>
      <w:r w:rsidRPr="001F740B">
        <w:rPr>
          <w:rFonts w:ascii="IRBadr" w:hAnsi="IRBadr" w:cs="IRBadr"/>
          <w:color w:val="8064A2" w:themeColor="accent4"/>
          <w:rtl/>
        </w:rPr>
        <w:t xml:space="preserve"> </w:t>
      </w:r>
      <w:r w:rsidRPr="001F740B">
        <w:rPr>
          <w:rFonts w:ascii="IRBadr" w:hAnsi="IRBadr" w:cs="IRBadr" w:hint="cs"/>
          <w:color w:val="8064A2" w:themeColor="accent4"/>
          <w:rtl/>
        </w:rPr>
        <w:t>أَبِي</w:t>
      </w:r>
      <w:r w:rsidRPr="001F740B">
        <w:rPr>
          <w:rFonts w:ascii="IRBadr" w:hAnsi="IRBadr" w:cs="IRBadr"/>
          <w:color w:val="8064A2" w:themeColor="accent4"/>
          <w:rtl/>
        </w:rPr>
        <w:t xml:space="preserve"> </w:t>
      </w:r>
      <w:r w:rsidRPr="001F740B">
        <w:rPr>
          <w:rFonts w:ascii="IRBadr" w:hAnsi="IRBadr" w:cs="IRBadr" w:hint="cs"/>
          <w:color w:val="8064A2" w:themeColor="accent4"/>
          <w:rtl/>
        </w:rPr>
        <w:t>عَبْدِ</w:t>
      </w:r>
      <w:r w:rsidRPr="001F740B">
        <w:rPr>
          <w:rFonts w:ascii="IRBadr" w:hAnsi="IRBadr" w:cs="IRBadr"/>
          <w:color w:val="8064A2" w:themeColor="accent4"/>
          <w:rtl/>
        </w:rPr>
        <w:t xml:space="preserve"> </w:t>
      </w:r>
      <w:r w:rsidRPr="001F740B">
        <w:rPr>
          <w:rFonts w:ascii="IRBadr" w:hAnsi="IRBadr" w:cs="IRBadr" w:hint="cs"/>
          <w:color w:val="8064A2" w:themeColor="accent4"/>
          <w:rtl/>
        </w:rPr>
        <w:t>اللَّهِ</w:t>
      </w:r>
      <w:r w:rsidRPr="001F740B">
        <w:rPr>
          <w:rFonts w:ascii="IRBadr" w:hAnsi="IRBadr" w:cs="IRBadr"/>
          <w:color w:val="8064A2" w:themeColor="accent4"/>
          <w:rtl/>
        </w:rPr>
        <w:t xml:space="preserve"> </w:t>
      </w:r>
      <w:r w:rsidRPr="001F740B">
        <w:rPr>
          <w:rFonts w:ascii="IRBadr" w:hAnsi="IRBadr" w:cs="IRBadr" w:hint="cs"/>
          <w:color w:val="8064A2" w:themeColor="accent4"/>
          <w:rtl/>
        </w:rPr>
        <w:t>قَالَ</w:t>
      </w:r>
      <w:r w:rsidRPr="001F740B">
        <w:rPr>
          <w:rFonts w:ascii="IRBadr" w:hAnsi="IRBadr" w:cs="IRBadr"/>
          <w:color w:val="8064A2" w:themeColor="accent4"/>
          <w:rtl/>
        </w:rPr>
        <w:t>:</w:t>
      </w:r>
      <w:r w:rsidRPr="001F740B">
        <w:rPr>
          <w:rFonts w:ascii="IRBadr" w:hAnsi="IRBadr" w:cs="IRBadr"/>
          <w:color w:val="008000"/>
          <w:rtl/>
        </w:rPr>
        <w:t xml:space="preserve"> </w:t>
      </w:r>
      <w:r w:rsidRPr="001F740B">
        <w:rPr>
          <w:rFonts w:ascii="IRBadr" w:hAnsi="IRBadr" w:cs="IRBadr" w:hint="cs"/>
          <w:color w:val="008000"/>
          <w:rtl/>
        </w:rPr>
        <w:t>قُلْتُ</w:t>
      </w:r>
      <w:r w:rsidRPr="001F740B">
        <w:rPr>
          <w:rFonts w:ascii="IRBadr" w:hAnsi="IRBadr" w:cs="IRBadr"/>
          <w:color w:val="008000"/>
          <w:rtl/>
        </w:rPr>
        <w:t xml:space="preserve"> </w:t>
      </w:r>
      <w:r w:rsidRPr="001F740B">
        <w:rPr>
          <w:rFonts w:ascii="IRBadr" w:hAnsi="IRBadr" w:cs="IRBadr" w:hint="cs"/>
          <w:color w:val="008000"/>
          <w:rtl/>
        </w:rPr>
        <w:t>لِأَبِي</w:t>
      </w:r>
      <w:r w:rsidRPr="001F740B">
        <w:rPr>
          <w:rFonts w:ascii="IRBadr" w:hAnsi="IRBadr" w:cs="IRBadr"/>
          <w:color w:val="008000"/>
          <w:rtl/>
        </w:rPr>
        <w:t xml:space="preserve"> </w:t>
      </w:r>
      <w:r w:rsidRPr="001F740B">
        <w:rPr>
          <w:rFonts w:ascii="IRBadr" w:hAnsi="IRBadr" w:cs="IRBadr" w:hint="cs"/>
          <w:color w:val="008000"/>
          <w:rtl/>
        </w:rPr>
        <w:t>عَبْدِ</w:t>
      </w:r>
      <w:r w:rsidRPr="001F740B">
        <w:rPr>
          <w:rFonts w:ascii="IRBadr" w:hAnsi="IRBadr" w:cs="IRBadr"/>
          <w:color w:val="008000"/>
          <w:rtl/>
        </w:rPr>
        <w:t xml:space="preserve"> </w:t>
      </w:r>
      <w:r w:rsidRPr="001F740B">
        <w:rPr>
          <w:rFonts w:ascii="IRBadr" w:hAnsi="IRBadr" w:cs="IRBadr" w:hint="cs"/>
          <w:color w:val="008000"/>
          <w:rtl/>
        </w:rPr>
        <w:t>اللَّهِ</w:t>
      </w:r>
      <w:r w:rsidRPr="001F740B">
        <w:rPr>
          <w:rFonts w:ascii="IRBadr" w:hAnsi="IRBadr" w:cs="IRBadr"/>
          <w:color w:val="008000"/>
          <w:rtl/>
        </w:rPr>
        <w:t xml:space="preserve"> </w:t>
      </w:r>
      <w:r w:rsidRPr="001F740B">
        <w:rPr>
          <w:rFonts w:ascii="IRBadr" w:hAnsi="IRBadr" w:cs="IRBadr" w:hint="cs"/>
          <w:color w:val="008000"/>
          <w:rtl/>
        </w:rPr>
        <w:t>ع</w:t>
      </w:r>
      <w:r w:rsidRPr="001F740B">
        <w:rPr>
          <w:rFonts w:ascii="IRBadr" w:hAnsi="IRBadr" w:cs="IRBadr"/>
          <w:color w:val="008000"/>
          <w:rtl/>
        </w:rPr>
        <w:t xml:space="preserve"> </w:t>
      </w:r>
      <w:r w:rsidRPr="001F740B">
        <w:rPr>
          <w:rFonts w:ascii="IRBadr" w:hAnsi="IRBadr" w:cs="IRBadr" w:hint="cs"/>
          <w:color w:val="008000"/>
          <w:rtl/>
        </w:rPr>
        <w:t>رَجُلٌ</w:t>
      </w:r>
      <w:r w:rsidRPr="001F740B">
        <w:rPr>
          <w:rFonts w:ascii="IRBadr" w:hAnsi="IRBadr" w:cs="IRBadr"/>
          <w:color w:val="008000"/>
          <w:rtl/>
        </w:rPr>
        <w:t xml:space="preserve"> </w:t>
      </w:r>
      <w:r w:rsidRPr="001F740B">
        <w:rPr>
          <w:rFonts w:ascii="IRBadr" w:hAnsi="IRBadr" w:cs="IRBadr" w:hint="cs"/>
          <w:color w:val="008000"/>
          <w:rtl/>
        </w:rPr>
        <w:t>لَمْ</w:t>
      </w:r>
      <w:r w:rsidRPr="001F740B">
        <w:rPr>
          <w:rFonts w:ascii="IRBadr" w:hAnsi="IRBadr" w:cs="IRBadr"/>
          <w:color w:val="008000"/>
          <w:rtl/>
        </w:rPr>
        <w:t xml:space="preserve"> </w:t>
      </w:r>
      <w:r w:rsidRPr="001F740B">
        <w:rPr>
          <w:rFonts w:ascii="IRBadr" w:hAnsi="IRBadr" w:cs="IRBadr" w:hint="cs"/>
          <w:color w:val="008000"/>
          <w:rtl/>
        </w:rPr>
        <w:t>يُزَكِّ</w:t>
      </w:r>
      <w:r w:rsidRPr="001F740B">
        <w:rPr>
          <w:rFonts w:ascii="IRBadr" w:hAnsi="IRBadr" w:cs="IRBadr"/>
          <w:color w:val="008000"/>
          <w:rtl/>
        </w:rPr>
        <w:t xml:space="preserve"> </w:t>
      </w:r>
      <w:r w:rsidRPr="001F740B">
        <w:rPr>
          <w:rFonts w:ascii="IRBadr" w:hAnsi="IRBadr" w:cs="IRBadr" w:hint="cs"/>
          <w:color w:val="008000"/>
          <w:rtl/>
        </w:rPr>
        <w:t>إِبِلَهُ</w:t>
      </w:r>
      <w:r w:rsidRPr="001F740B">
        <w:rPr>
          <w:rFonts w:ascii="IRBadr" w:hAnsi="IRBadr" w:cs="IRBadr"/>
          <w:color w:val="008000"/>
          <w:rtl/>
        </w:rPr>
        <w:t xml:space="preserve"> </w:t>
      </w:r>
      <w:r w:rsidRPr="001F740B">
        <w:rPr>
          <w:rFonts w:ascii="IRBadr" w:hAnsi="IRBadr" w:cs="IRBadr" w:hint="cs"/>
          <w:color w:val="008000"/>
          <w:rtl/>
        </w:rPr>
        <w:t>أَوْ</w:t>
      </w:r>
      <w:r w:rsidRPr="001F740B">
        <w:rPr>
          <w:rFonts w:ascii="IRBadr" w:hAnsi="IRBadr" w:cs="IRBadr"/>
          <w:color w:val="008000"/>
          <w:rtl/>
        </w:rPr>
        <w:t xml:space="preserve"> </w:t>
      </w:r>
      <w:r w:rsidRPr="001F740B">
        <w:rPr>
          <w:rFonts w:ascii="IRBadr" w:hAnsi="IRBadr" w:cs="IRBadr" w:hint="cs"/>
          <w:color w:val="008000"/>
          <w:rtl/>
        </w:rPr>
        <w:t>شَاتَهُ</w:t>
      </w:r>
      <w:r w:rsidRPr="001F740B">
        <w:rPr>
          <w:rFonts w:ascii="IRBadr" w:hAnsi="IRBadr" w:cs="IRBadr"/>
          <w:color w:val="008000"/>
          <w:rtl/>
        </w:rPr>
        <w:t xml:space="preserve"> </w:t>
      </w:r>
      <w:r w:rsidRPr="001F740B">
        <w:rPr>
          <w:rFonts w:ascii="IRBadr" w:hAnsi="IRBadr" w:cs="IRBadr" w:hint="cs"/>
          <w:color w:val="008000"/>
          <w:rtl/>
        </w:rPr>
        <w:t>عَامَيْنِ</w:t>
      </w:r>
      <w:r w:rsidRPr="001F740B">
        <w:rPr>
          <w:rFonts w:ascii="IRBadr" w:hAnsi="IRBadr" w:cs="IRBadr"/>
          <w:color w:val="008000"/>
          <w:rtl/>
        </w:rPr>
        <w:t xml:space="preserve"> </w:t>
      </w:r>
      <w:r w:rsidRPr="001F740B">
        <w:rPr>
          <w:rFonts w:ascii="IRBadr" w:hAnsi="IRBadr" w:cs="IRBadr" w:hint="cs"/>
          <w:color w:val="008000"/>
          <w:rtl/>
        </w:rPr>
        <w:t>فَبَاعَهَا</w:t>
      </w:r>
      <w:r>
        <w:rPr>
          <w:rFonts w:ascii="IRBadr" w:hAnsi="IRBadr" w:cs="IRBadr" w:hint="cs"/>
          <w:color w:val="008000"/>
          <w:rtl/>
        </w:rPr>
        <w:t>.</w:t>
      </w:r>
      <w:r w:rsidRPr="001F740B">
        <w:rPr>
          <w:rFonts w:ascii="IRBadr" w:hAnsi="IRBadr" w:cs="IRBadr"/>
          <w:color w:val="008000"/>
          <w:rtl/>
        </w:rPr>
        <w:t xml:space="preserve"> </w:t>
      </w:r>
      <w:r w:rsidRPr="001F740B">
        <w:rPr>
          <w:rFonts w:ascii="IRBadr" w:hAnsi="IRBadr" w:cs="IRBadr" w:hint="cs"/>
          <w:color w:val="008000"/>
          <w:rtl/>
        </w:rPr>
        <w:t>عَلَى</w:t>
      </w:r>
      <w:r w:rsidRPr="001F740B">
        <w:rPr>
          <w:rFonts w:ascii="IRBadr" w:hAnsi="IRBadr" w:cs="IRBadr"/>
          <w:color w:val="008000"/>
          <w:rtl/>
        </w:rPr>
        <w:t xml:space="preserve"> </w:t>
      </w:r>
      <w:r w:rsidRPr="001F740B">
        <w:rPr>
          <w:rFonts w:ascii="IRBadr" w:hAnsi="IRBadr" w:cs="IRBadr" w:hint="cs"/>
          <w:color w:val="008000"/>
          <w:rtl/>
        </w:rPr>
        <w:t>مَنِ</w:t>
      </w:r>
      <w:r w:rsidRPr="001F740B">
        <w:rPr>
          <w:rFonts w:ascii="IRBadr" w:hAnsi="IRBadr" w:cs="IRBadr"/>
          <w:color w:val="008000"/>
          <w:rtl/>
        </w:rPr>
        <w:t xml:space="preserve"> </w:t>
      </w:r>
      <w:r w:rsidRPr="001F740B">
        <w:rPr>
          <w:rFonts w:ascii="IRBadr" w:hAnsi="IRBadr" w:cs="IRBadr" w:hint="cs"/>
          <w:color w:val="008000"/>
          <w:rtl/>
        </w:rPr>
        <w:t>اشْتَرَاهَا</w:t>
      </w:r>
      <w:r w:rsidRPr="001F740B">
        <w:rPr>
          <w:rFonts w:ascii="IRBadr" w:hAnsi="IRBadr" w:cs="IRBadr"/>
          <w:color w:val="008000"/>
          <w:rtl/>
        </w:rPr>
        <w:t xml:space="preserve"> </w:t>
      </w:r>
      <w:r w:rsidRPr="001F740B">
        <w:rPr>
          <w:rFonts w:ascii="IRBadr" w:hAnsi="IRBadr" w:cs="IRBadr" w:hint="cs"/>
          <w:color w:val="008000"/>
          <w:rtl/>
        </w:rPr>
        <w:t>أَنْ</w:t>
      </w:r>
      <w:r w:rsidRPr="001F740B">
        <w:rPr>
          <w:rFonts w:ascii="IRBadr" w:hAnsi="IRBadr" w:cs="IRBadr"/>
          <w:color w:val="008000"/>
          <w:rtl/>
        </w:rPr>
        <w:t xml:space="preserve"> </w:t>
      </w:r>
      <w:r w:rsidRPr="001F740B">
        <w:rPr>
          <w:rFonts w:ascii="IRBadr" w:hAnsi="IRBadr" w:cs="IRBadr" w:hint="cs"/>
          <w:color w:val="008000"/>
          <w:rtl/>
        </w:rPr>
        <w:t>يُزَكِّيَهَا</w:t>
      </w:r>
      <w:r w:rsidRPr="001F740B">
        <w:rPr>
          <w:rFonts w:ascii="IRBadr" w:hAnsi="IRBadr" w:cs="IRBadr"/>
          <w:color w:val="008000"/>
          <w:rtl/>
        </w:rPr>
        <w:t xml:space="preserve"> </w:t>
      </w:r>
      <w:r w:rsidRPr="001F740B">
        <w:rPr>
          <w:rFonts w:ascii="IRBadr" w:hAnsi="IRBadr" w:cs="IRBadr" w:hint="cs"/>
          <w:color w:val="008000"/>
          <w:rtl/>
        </w:rPr>
        <w:t>لِمَا</w:t>
      </w:r>
      <w:r w:rsidRPr="001F740B">
        <w:rPr>
          <w:rFonts w:ascii="IRBadr" w:hAnsi="IRBadr" w:cs="IRBadr"/>
          <w:color w:val="008000"/>
          <w:rtl/>
        </w:rPr>
        <w:t xml:space="preserve"> </w:t>
      </w:r>
      <w:r w:rsidRPr="001F740B">
        <w:rPr>
          <w:rFonts w:ascii="IRBadr" w:hAnsi="IRBadr" w:cs="IRBadr" w:hint="cs"/>
          <w:color w:val="008000"/>
          <w:rtl/>
        </w:rPr>
        <w:t>مَضَى</w:t>
      </w:r>
      <w:r>
        <w:rPr>
          <w:rFonts w:ascii="IRBadr" w:hAnsi="IRBadr" w:cs="IRBadr" w:hint="cs"/>
          <w:color w:val="008000"/>
          <w:rtl/>
        </w:rPr>
        <w:t>؟</w:t>
      </w:r>
      <w:r w:rsidRPr="001F740B">
        <w:rPr>
          <w:rFonts w:ascii="IRBadr" w:hAnsi="IRBadr" w:cs="IRBadr"/>
          <w:color w:val="008000"/>
          <w:rtl/>
        </w:rPr>
        <w:t xml:space="preserve"> </w:t>
      </w:r>
      <w:r w:rsidRPr="001F740B">
        <w:rPr>
          <w:rFonts w:ascii="IRBadr" w:hAnsi="IRBadr" w:cs="IRBadr" w:hint="cs"/>
          <w:color w:val="008000"/>
          <w:rtl/>
        </w:rPr>
        <w:t>قَالَ</w:t>
      </w:r>
      <w:r>
        <w:rPr>
          <w:rFonts w:ascii="IRBadr" w:hAnsi="IRBadr" w:cs="IRBadr" w:hint="cs"/>
          <w:color w:val="008000"/>
          <w:rtl/>
        </w:rPr>
        <w:t>:</w:t>
      </w:r>
      <w:r w:rsidRPr="001F740B">
        <w:rPr>
          <w:rFonts w:ascii="IRBadr" w:hAnsi="IRBadr" w:cs="IRBadr"/>
          <w:color w:val="008000"/>
          <w:rtl/>
        </w:rPr>
        <w:t xml:space="preserve"> </w:t>
      </w:r>
      <w:r w:rsidRPr="001F740B">
        <w:rPr>
          <w:rFonts w:ascii="IRBadr" w:hAnsi="IRBadr" w:cs="IRBadr" w:hint="cs"/>
          <w:color w:val="008000"/>
          <w:rtl/>
        </w:rPr>
        <w:t>نَعَمْ</w:t>
      </w:r>
      <w:r>
        <w:rPr>
          <w:rFonts w:ascii="IRBadr" w:hAnsi="IRBadr" w:cs="IRBadr" w:hint="cs"/>
          <w:color w:val="008000"/>
          <w:rtl/>
        </w:rPr>
        <w:t>،</w:t>
      </w:r>
      <w:r w:rsidRPr="001F740B">
        <w:rPr>
          <w:rFonts w:ascii="IRBadr" w:hAnsi="IRBadr" w:cs="IRBadr"/>
          <w:color w:val="008000"/>
          <w:rtl/>
        </w:rPr>
        <w:t xml:space="preserve"> </w:t>
      </w:r>
      <w:r w:rsidRPr="001F740B">
        <w:rPr>
          <w:rFonts w:ascii="IRBadr" w:hAnsi="IRBadr" w:cs="IRBadr" w:hint="cs"/>
          <w:color w:val="008000"/>
          <w:rtl/>
        </w:rPr>
        <w:t>تُؤْخَذُ</w:t>
      </w:r>
      <w:r w:rsidRPr="001F740B">
        <w:rPr>
          <w:rFonts w:ascii="IRBadr" w:hAnsi="IRBadr" w:cs="IRBadr"/>
          <w:color w:val="008000"/>
          <w:rtl/>
        </w:rPr>
        <w:t xml:space="preserve"> </w:t>
      </w:r>
      <w:r w:rsidRPr="001F740B">
        <w:rPr>
          <w:rFonts w:ascii="IRBadr" w:hAnsi="IRBadr" w:cs="IRBadr" w:hint="cs"/>
          <w:color w:val="008000"/>
          <w:rtl/>
        </w:rPr>
        <w:t>مِنْهُ</w:t>
      </w:r>
      <w:r w:rsidRPr="001F740B">
        <w:rPr>
          <w:rFonts w:ascii="IRBadr" w:hAnsi="IRBadr" w:cs="IRBadr"/>
          <w:color w:val="008000"/>
          <w:rtl/>
        </w:rPr>
        <w:t xml:space="preserve"> </w:t>
      </w:r>
      <w:r w:rsidRPr="001F740B">
        <w:rPr>
          <w:rFonts w:ascii="IRBadr" w:hAnsi="IRBadr" w:cs="IRBadr" w:hint="cs"/>
          <w:color w:val="008000"/>
          <w:rtl/>
        </w:rPr>
        <w:t>زَكَاتُهَا</w:t>
      </w:r>
      <w:r w:rsidRPr="001F740B">
        <w:rPr>
          <w:rFonts w:ascii="IRBadr" w:hAnsi="IRBadr" w:cs="IRBadr"/>
          <w:color w:val="008000"/>
          <w:rtl/>
        </w:rPr>
        <w:t xml:space="preserve"> </w:t>
      </w:r>
      <w:r w:rsidRPr="001F740B">
        <w:rPr>
          <w:rFonts w:ascii="IRBadr" w:hAnsi="IRBadr" w:cs="IRBadr" w:hint="cs"/>
          <w:color w:val="008000"/>
          <w:rtl/>
        </w:rPr>
        <w:t>وَ</w:t>
      </w:r>
      <w:r w:rsidRPr="001F740B">
        <w:rPr>
          <w:rFonts w:ascii="IRBadr" w:hAnsi="IRBadr" w:cs="IRBadr"/>
          <w:color w:val="008000"/>
          <w:rtl/>
        </w:rPr>
        <w:t xml:space="preserve"> </w:t>
      </w:r>
      <w:r w:rsidRPr="001F740B">
        <w:rPr>
          <w:rFonts w:ascii="IRBadr" w:hAnsi="IRBadr" w:cs="IRBadr" w:hint="cs"/>
          <w:color w:val="008000"/>
          <w:rtl/>
        </w:rPr>
        <w:t>يَتْبَعُ</w:t>
      </w:r>
      <w:r w:rsidRPr="001F740B">
        <w:rPr>
          <w:rFonts w:ascii="IRBadr" w:hAnsi="IRBadr" w:cs="IRBadr"/>
          <w:color w:val="008000"/>
          <w:rtl/>
        </w:rPr>
        <w:t xml:space="preserve"> </w:t>
      </w:r>
      <w:r w:rsidRPr="001F740B">
        <w:rPr>
          <w:rFonts w:ascii="IRBadr" w:hAnsi="IRBadr" w:cs="IRBadr" w:hint="cs"/>
          <w:color w:val="008000"/>
          <w:rtl/>
        </w:rPr>
        <w:t>بِهَا</w:t>
      </w:r>
      <w:r w:rsidRPr="001F740B">
        <w:rPr>
          <w:rFonts w:ascii="IRBadr" w:hAnsi="IRBadr" w:cs="IRBadr"/>
          <w:color w:val="008000"/>
          <w:rtl/>
        </w:rPr>
        <w:t xml:space="preserve"> </w:t>
      </w:r>
      <w:r w:rsidRPr="001F740B">
        <w:rPr>
          <w:rFonts w:ascii="IRBadr" w:hAnsi="IRBadr" w:cs="IRBadr" w:hint="cs"/>
          <w:color w:val="008000"/>
          <w:rtl/>
        </w:rPr>
        <w:t>الْبَائِعَ</w:t>
      </w:r>
      <w:r w:rsidRPr="001F740B">
        <w:rPr>
          <w:rFonts w:ascii="IRBadr" w:hAnsi="IRBadr" w:cs="IRBadr"/>
          <w:color w:val="008000"/>
          <w:rtl/>
        </w:rPr>
        <w:t xml:space="preserve"> </w:t>
      </w:r>
      <w:r w:rsidRPr="001F740B">
        <w:rPr>
          <w:rFonts w:ascii="IRBadr" w:hAnsi="IRBadr" w:cs="IRBadr" w:hint="cs"/>
          <w:color w:val="008000"/>
          <w:rtl/>
        </w:rPr>
        <w:t>أَوْ</w:t>
      </w:r>
      <w:r w:rsidRPr="001F740B">
        <w:rPr>
          <w:rFonts w:ascii="IRBadr" w:hAnsi="IRBadr" w:cs="IRBadr"/>
          <w:color w:val="008000"/>
          <w:rtl/>
        </w:rPr>
        <w:t xml:space="preserve"> </w:t>
      </w:r>
      <w:r w:rsidRPr="001F740B">
        <w:rPr>
          <w:rFonts w:ascii="IRBadr" w:hAnsi="IRBadr" w:cs="IRBadr" w:hint="cs"/>
          <w:color w:val="008000"/>
          <w:rtl/>
        </w:rPr>
        <w:t>يُؤَدِّيَ</w:t>
      </w:r>
      <w:r w:rsidRPr="001F740B">
        <w:rPr>
          <w:rFonts w:ascii="IRBadr" w:hAnsi="IRBadr" w:cs="IRBadr"/>
          <w:color w:val="008000"/>
          <w:rtl/>
        </w:rPr>
        <w:t xml:space="preserve"> </w:t>
      </w:r>
      <w:r w:rsidRPr="001F740B">
        <w:rPr>
          <w:rFonts w:ascii="IRBadr" w:hAnsi="IRBadr" w:cs="IRBadr" w:hint="cs"/>
          <w:color w:val="008000"/>
          <w:rtl/>
        </w:rPr>
        <w:t>زَكَاتَهَا</w:t>
      </w:r>
      <w:r w:rsidRPr="001F740B">
        <w:rPr>
          <w:rFonts w:ascii="IRBadr" w:hAnsi="IRBadr" w:cs="IRBadr"/>
          <w:color w:val="008000"/>
          <w:rtl/>
        </w:rPr>
        <w:t xml:space="preserve"> </w:t>
      </w:r>
      <w:r w:rsidRPr="001F740B">
        <w:rPr>
          <w:rFonts w:ascii="IRBadr" w:hAnsi="IRBadr" w:cs="IRBadr" w:hint="cs"/>
          <w:color w:val="008000"/>
          <w:rtl/>
        </w:rPr>
        <w:t>الْبَائِعُ</w:t>
      </w:r>
      <w:r w:rsidRPr="001F740B">
        <w:rPr>
          <w:rFonts w:ascii="IRBadr" w:hAnsi="IRBadr" w:cs="IRBadr" w:hint="eastAsia"/>
          <w:color w:val="008000"/>
          <w:rtl/>
        </w:rPr>
        <w:t>»</w:t>
      </w:r>
      <w:r>
        <w:rPr>
          <w:rStyle w:val="FootnoteReference"/>
          <w:rFonts w:ascii="IRBadr" w:hAnsi="IRBadr" w:cs="IRBadr"/>
          <w:color w:val="008000"/>
          <w:rtl/>
        </w:rPr>
        <w:footnoteReference w:id="9"/>
      </w:r>
      <w:r w:rsidRPr="001F740B">
        <w:rPr>
          <w:rFonts w:ascii="IRBadr" w:hAnsi="IRBadr" w:cs="IRBadr"/>
          <w:rtl/>
        </w:rPr>
        <w:t>.</w:t>
      </w:r>
    </w:p>
    <w:p w:rsidR="006969D9" w:rsidRDefault="006969D9" w:rsidP="00C6621B">
      <w:pPr>
        <w:rPr>
          <w:rFonts w:ascii="IRBadr" w:hAnsi="IRBadr" w:cs="IRBadr"/>
          <w:rtl/>
        </w:rPr>
      </w:pPr>
      <w:r>
        <w:rPr>
          <w:rFonts w:ascii="IRBadr" w:hAnsi="IRBadr" w:cs="IRBadr" w:hint="cs"/>
          <w:rtl/>
        </w:rPr>
        <w:t>یعنی اگر بایع زکات را پرداخت نماید، ساعی حقّ رجوع به مشتری ندارد، ولی اگر پرداخت نکند، از مشتری اخذ نموده و مشت</w:t>
      </w:r>
      <w:r w:rsidR="00C6621B">
        <w:rPr>
          <w:rFonts w:ascii="IRBadr" w:hAnsi="IRBadr" w:cs="IRBadr" w:hint="cs"/>
          <w:rtl/>
        </w:rPr>
        <w:t>ری به بایع رجوع می‌نماید؛ پس، ا</w:t>
      </w:r>
      <w:r>
        <w:rPr>
          <w:rFonts w:ascii="IRBadr" w:hAnsi="IRBadr" w:cs="IRBadr" w:hint="cs"/>
          <w:rtl/>
        </w:rPr>
        <w:t>ن‌ق</w:t>
      </w:r>
      <w:r w:rsidR="00C6621B">
        <w:rPr>
          <w:rFonts w:ascii="IRBadr" w:hAnsi="IRBadr" w:cs="IRBadr" w:hint="cs"/>
          <w:rtl/>
        </w:rPr>
        <w:t>لت</w:t>
      </w:r>
      <w:r>
        <w:rPr>
          <w:rFonts w:ascii="IRBadr" w:hAnsi="IRBadr" w:cs="IRBadr" w:hint="cs"/>
          <w:rtl/>
        </w:rPr>
        <w:t xml:space="preserve"> از اساس وارد نیست. بله، اصل آنکه حقّی بر ذمّه کسی باشد، ولی دیگری آن را پرداخت نماید، امری خلاف قاعده است. در محل بحث نیز، حقّ بر ذمّه مشتری است، ولی شارع اجازه فرموده که بایع آن حقّ را ادا نماید؛ چرا که بر فرض آنکه مشتری هم ادا نماید، او نیز به بایع رجوع می‌کند. پس اجازه شارع </w:t>
      </w:r>
      <w:r w:rsidR="00C6621B">
        <w:rPr>
          <w:rFonts w:ascii="IRBadr" w:hAnsi="IRBadr" w:cs="IRBadr" w:hint="cs"/>
          <w:rtl/>
        </w:rPr>
        <w:t>به بایع برای</w:t>
      </w:r>
      <w:r>
        <w:rPr>
          <w:rFonts w:ascii="IRBadr" w:hAnsi="IRBadr" w:cs="IRBadr" w:hint="cs"/>
          <w:rtl/>
        </w:rPr>
        <w:t xml:space="preserve"> پرداخت زکات از آن جهت است که قرار ضمان بر بایع است. </w:t>
      </w:r>
    </w:p>
    <w:p w:rsidR="00C6621B" w:rsidRDefault="00C6621B" w:rsidP="00C6621B">
      <w:pPr>
        <w:pStyle w:val="Heading1"/>
        <w:rPr>
          <w:rtl/>
        </w:rPr>
      </w:pPr>
      <w:bookmarkStart w:id="38" w:name="_Toc157295853"/>
      <w:r>
        <w:rPr>
          <w:rFonts w:hint="cs"/>
          <w:rtl/>
        </w:rPr>
        <w:lastRenderedPageBreak/>
        <w:t>بررسی نقدهای آیت الله والد بر صاحب مدارک</w:t>
      </w:r>
      <w:bookmarkEnd w:id="38"/>
    </w:p>
    <w:p w:rsidR="00A12C84" w:rsidRDefault="00C6621B" w:rsidP="00195BA5">
      <w:pPr>
        <w:rPr>
          <w:rFonts w:ascii="IRBadr" w:hAnsi="IRBadr" w:cs="IRBadr"/>
          <w:rtl/>
        </w:rPr>
      </w:pPr>
      <w:r>
        <w:rPr>
          <w:rFonts w:ascii="IRBadr" w:hAnsi="IRBadr" w:cs="IRBadr" w:hint="cs"/>
          <w:rtl/>
        </w:rPr>
        <w:t xml:space="preserve">نقدهایی </w:t>
      </w:r>
      <w:r w:rsidR="00A12C84">
        <w:rPr>
          <w:rFonts w:ascii="IRBadr" w:hAnsi="IRBadr" w:cs="IRBadr" w:hint="cs"/>
          <w:rtl/>
        </w:rPr>
        <w:t xml:space="preserve">که جناب آیت الله والد </w:t>
      </w:r>
      <w:r>
        <w:rPr>
          <w:rFonts w:ascii="IRBadr" w:hAnsi="IRBadr" w:cs="IRBadr" w:hint="cs"/>
          <w:rtl/>
        </w:rPr>
        <w:t xml:space="preserve">به صاحب مدارک </w:t>
      </w:r>
      <w:r w:rsidR="00A12C84">
        <w:rPr>
          <w:rFonts w:ascii="IRBadr" w:hAnsi="IRBadr" w:cs="IRBadr" w:hint="cs"/>
          <w:rtl/>
        </w:rPr>
        <w:t xml:space="preserve">بیان نموده‌اند، از جهت عقلی قابل </w:t>
      </w:r>
      <w:r w:rsidR="00195BA5">
        <w:rPr>
          <w:rFonts w:ascii="IRBadr" w:hAnsi="IRBadr" w:cs="IRBadr" w:hint="cs"/>
          <w:rtl/>
        </w:rPr>
        <w:t>توجیه</w:t>
      </w:r>
      <w:r w:rsidR="00A12C84">
        <w:rPr>
          <w:rFonts w:ascii="IRBadr" w:hAnsi="IRBadr" w:cs="IRBadr" w:hint="cs"/>
          <w:rtl/>
        </w:rPr>
        <w:t xml:space="preserve"> است، ولی ممکن است ادّعا شود که این امور، عرفی نیست، و بیان شود که اگر این‌گونه بود در ادلّه بیان م</w:t>
      </w:r>
      <w:r>
        <w:rPr>
          <w:rFonts w:ascii="IRBadr" w:hAnsi="IRBadr" w:cs="IRBadr" w:hint="cs"/>
          <w:rtl/>
        </w:rPr>
        <w:t>ی‌ش</w:t>
      </w:r>
      <w:r w:rsidR="00A12C84">
        <w:rPr>
          <w:rFonts w:ascii="IRBadr" w:hAnsi="IRBadr" w:cs="IRBadr" w:hint="cs"/>
          <w:rtl/>
        </w:rPr>
        <w:t xml:space="preserve">د، و لو کان لبان. به نظر می‌رسد که ادلّه صاحب مدارک، بیشتر حالت مویّد دارد. این پاسخ‌هایی که به ادلّه ایشان بیان شده است هر چند امکان دارد، ولی خالی از بُعد نیست؛ لذا می‌توان به عنوان مویّد آنها را مطرح نمود. </w:t>
      </w:r>
    </w:p>
    <w:p w:rsidR="00C6621B" w:rsidRDefault="00C6621B" w:rsidP="00C6621B">
      <w:pPr>
        <w:pStyle w:val="Heading2"/>
        <w:rPr>
          <w:rtl/>
        </w:rPr>
      </w:pPr>
      <w:bookmarkStart w:id="39" w:name="_Toc157295854"/>
      <w:r>
        <w:rPr>
          <w:rFonts w:hint="cs"/>
          <w:rtl/>
        </w:rPr>
        <w:t>بیان یک نکته در کلام آیت الله والد در تتمّه بحث صاحب مدارک</w:t>
      </w:r>
      <w:bookmarkEnd w:id="39"/>
      <w:r>
        <w:rPr>
          <w:rFonts w:hint="cs"/>
          <w:rtl/>
        </w:rPr>
        <w:t xml:space="preserve"> </w:t>
      </w:r>
    </w:p>
    <w:p w:rsidR="00C6621B" w:rsidRDefault="005D6C16" w:rsidP="00C6621B">
      <w:pPr>
        <w:rPr>
          <w:rFonts w:ascii="IRBadr" w:hAnsi="IRBadr" w:cs="IRBadr"/>
          <w:rtl/>
        </w:rPr>
      </w:pPr>
      <w:r>
        <w:rPr>
          <w:rFonts w:ascii="IRBadr" w:hAnsi="IRBadr" w:cs="IRBadr" w:hint="cs"/>
          <w:rtl/>
        </w:rPr>
        <w:t>در ادامه این بحث یک تذکّر ذکر شده که در درس جناب آیت الله والد نیست ولی در جزوه ایشان افزوده شده است. ظاهرا ما خود، این قسمت را افزوده‌ایم. در خاطر هست که پس از درس، سوالی به جناب ایشان عرضه شد و</w:t>
      </w:r>
      <w:r w:rsidR="00C6621B">
        <w:rPr>
          <w:rFonts w:ascii="IRBadr" w:hAnsi="IRBadr" w:cs="IRBadr" w:hint="cs"/>
          <w:rtl/>
        </w:rPr>
        <w:t xml:space="preserve"> ایشان</w:t>
      </w:r>
      <w:r>
        <w:rPr>
          <w:rFonts w:ascii="IRBadr" w:hAnsi="IRBadr" w:cs="IRBadr" w:hint="cs"/>
          <w:rtl/>
        </w:rPr>
        <w:t xml:space="preserve"> پاسخی فرمودند</w:t>
      </w:r>
      <w:r w:rsidR="00C6621B">
        <w:rPr>
          <w:rFonts w:ascii="IRBadr" w:hAnsi="IRBadr" w:cs="IRBadr" w:hint="cs"/>
          <w:rtl/>
        </w:rPr>
        <w:t xml:space="preserve"> که منشا شد قسمت اخیر</w:t>
      </w:r>
      <w:r>
        <w:rPr>
          <w:rFonts w:ascii="IRBadr" w:hAnsi="IRBadr" w:cs="IRBadr" w:hint="cs"/>
          <w:rtl/>
        </w:rPr>
        <w:t xml:space="preserve"> به جزوه افزوده شود. این عبارت، پاسخ به یک اشکال مقدّر به شمار می‌رود البته عبارتی که در جزوه وارد شده چندان گویا نیست و نیازمند توضیح است. </w:t>
      </w:r>
    </w:p>
    <w:p w:rsidR="00C6621B" w:rsidRDefault="00C6621B" w:rsidP="00C6621B">
      <w:pPr>
        <w:pStyle w:val="Heading3"/>
        <w:rPr>
          <w:rtl/>
        </w:rPr>
      </w:pPr>
      <w:bookmarkStart w:id="40" w:name="_Toc157295855"/>
      <w:r>
        <w:rPr>
          <w:rFonts w:hint="cs"/>
          <w:rtl/>
        </w:rPr>
        <w:t>کلام آیت الله والد</w:t>
      </w:r>
      <w:bookmarkEnd w:id="40"/>
    </w:p>
    <w:p w:rsidR="005D6C16" w:rsidRDefault="005D6C16" w:rsidP="00C6621B">
      <w:pPr>
        <w:rPr>
          <w:rFonts w:ascii="IRBadr" w:hAnsi="IRBadr" w:cs="IRBadr"/>
          <w:rtl/>
        </w:rPr>
      </w:pPr>
      <w:r>
        <w:rPr>
          <w:rFonts w:ascii="IRBadr" w:hAnsi="IRBadr" w:cs="IRBadr" w:hint="cs"/>
          <w:rtl/>
        </w:rPr>
        <w:t>عبارت به این صورت است:</w:t>
      </w:r>
    </w:p>
    <w:p w:rsidR="005D6C16" w:rsidRDefault="005D6C16" w:rsidP="00A12C84">
      <w:pPr>
        <w:rPr>
          <w:rFonts w:ascii="IRBadr" w:hAnsi="IRBadr" w:cs="IRBadr"/>
          <w:rtl/>
        </w:rPr>
      </w:pPr>
      <w:r>
        <w:rPr>
          <w:rFonts w:ascii="IRBadr" w:hAnsi="IRBadr" w:cs="IRBadr" w:hint="cs"/>
          <w:color w:val="0000FF"/>
          <w:rtl/>
        </w:rPr>
        <w:t>«</w:t>
      </w:r>
      <w:r w:rsidRPr="005D6C16">
        <w:rPr>
          <w:rFonts w:ascii="IRBadr" w:hAnsi="IRBadr" w:cs="IRBadr" w:hint="cs"/>
          <w:color w:val="0000FF"/>
          <w:rtl/>
        </w:rPr>
        <w:t xml:space="preserve">تذکّر مهمی که در تمام پاسخ‌های ما لازم می‌نماید این است که تصوّراتی را که ما در دفع اشکالات مطرح ساختیم، از باب تخصیص عمومات یا تقیید </w:t>
      </w:r>
      <w:r>
        <w:rPr>
          <w:rFonts w:ascii="IRBadr" w:hAnsi="IRBadr" w:cs="IRBadr" w:hint="cs"/>
          <w:color w:val="0000FF"/>
          <w:rtl/>
        </w:rPr>
        <w:t>اطلاقات نیست؛</w:t>
      </w:r>
      <w:r w:rsidRPr="005D6C16">
        <w:rPr>
          <w:rFonts w:ascii="IRBadr" w:hAnsi="IRBadr" w:cs="IRBadr" w:hint="cs"/>
          <w:color w:val="0000FF"/>
          <w:rtl/>
        </w:rPr>
        <w:t xml:space="preserve"> بلکه اساسا مقتضی برای نفی این تصوّرات تمام نیست، و تنها</w:t>
      </w:r>
      <w:r>
        <w:rPr>
          <w:rFonts w:ascii="IRBadr" w:hAnsi="IRBadr" w:cs="IRBadr" w:hint="cs"/>
          <w:color w:val="0000FF"/>
          <w:rtl/>
        </w:rPr>
        <w:t>،</w:t>
      </w:r>
      <w:r w:rsidRPr="005D6C16">
        <w:rPr>
          <w:rFonts w:ascii="IRBadr" w:hAnsi="IRBadr" w:cs="IRBadr" w:hint="cs"/>
          <w:color w:val="0000FF"/>
          <w:rtl/>
        </w:rPr>
        <w:t xml:space="preserve"> عدم دلیل بر این تصوّرات ممکن است دلیل عدم قول به آنها باشد؛ پس اگر قول به ذمّه را قائل شویم، با این تصوّرات هیچ خلاف ظاهری مترتکب نشده‌ایم</w:t>
      </w:r>
      <w:r>
        <w:rPr>
          <w:rFonts w:ascii="IRBadr" w:hAnsi="IRBadr" w:cs="IRBadr" w:hint="cs"/>
          <w:color w:val="0000FF"/>
          <w:rtl/>
        </w:rPr>
        <w:t>»</w:t>
      </w:r>
      <w:r>
        <w:rPr>
          <w:rFonts w:ascii="IRBadr" w:hAnsi="IRBadr" w:cs="IRBadr" w:hint="cs"/>
          <w:rtl/>
        </w:rPr>
        <w:t>.</w:t>
      </w:r>
    </w:p>
    <w:p w:rsidR="00C6621B" w:rsidRDefault="005D6C16" w:rsidP="00C6621B">
      <w:pPr>
        <w:rPr>
          <w:rFonts w:ascii="IRBadr" w:hAnsi="IRBadr" w:cs="IRBadr"/>
          <w:rtl/>
        </w:rPr>
      </w:pPr>
      <w:r>
        <w:rPr>
          <w:rFonts w:ascii="IRBadr" w:hAnsi="IRBadr" w:cs="IRBadr" w:hint="cs"/>
          <w:rtl/>
        </w:rPr>
        <w:t>اشکالی که در این بخش وجود داشته و این عبارت در صدد دفع آن است، نیازمند توضیح است. توضیح آنکه گاهی</w:t>
      </w:r>
      <w:r w:rsidR="00C6621B">
        <w:rPr>
          <w:rFonts w:ascii="IRBadr" w:hAnsi="IRBadr" w:cs="IRBadr" w:hint="cs"/>
          <w:rtl/>
        </w:rPr>
        <w:t>،</w:t>
      </w:r>
      <w:r>
        <w:rPr>
          <w:rFonts w:ascii="IRBadr" w:hAnsi="IRBadr" w:cs="IRBadr" w:hint="cs"/>
          <w:rtl/>
        </w:rPr>
        <w:t xml:space="preserve"> نفی نتیجه </w:t>
      </w:r>
      <w:r w:rsidR="00C6621B">
        <w:rPr>
          <w:rFonts w:ascii="IRBadr" w:hAnsi="IRBadr" w:cs="IRBadr" w:hint="cs"/>
          <w:rtl/>
        </w:rPr>
        <w:t xml:space="preserve">یک </w:t>
      </w:r>
      <w:r>
        <w:rPr>
          <w:rFonts w:ascii="IRBadr" w:hAnsi="IRBadr" w:cs="IRBadr" w:hint="cs"/>
          <w:rtl/>
        </w:rPr>
        <w:t xml:space="preserve">احتمال، به عنوان دلیل برای نفی آن احتمال مطرح می‌شود. یا نفی حکم یک احتمال به عنوان دلیل بر نفی آن قلمداد می‌شود. به عنوان مثال، </w:t>
      </w:r>
      <w:r w:rsidR="00A81279">
        <w:rPr>
          <w:rFonts w:ascii="IRBadr" w:hAnsi="IRBadr" w:cs="IRBadr" w:hint="cs"/>
          <w:rtl/>
        </w:rPr>
        <w:t>بحثی در باب عدّه وجود دارد که معتدّه رجعیّه، زوجه است یا آنکه به منزله زوجه است. این بحث بسیار مهمّی است که</w:t>
      </w:r>
      <w:r w:rsidR="00C6621B">
        <w:rPr>
          <w:rFonts w:ascii="IRBadr" w:hAnsi="IRBadr" w:cs="IRBadr" w:hint="cs"/>
          <w:rtl/>
        </w:rPr>
        <w:t xml:space="preserve"> ما</w:t>
      </w:r>
      <w:r w:rsidR="00A81279">
        <w:rPr>
          <w:rFonts w:ascii="IRBadr" w:hAnsi="IRBadr" w:cs="IRBadr" w:hint="cs"/>
          <w:rtl/>
        </w:rPr>
        <w:t xml:space="preserve"> در بحث عدّه به تفصیل به آن پرداختیم. برای هر یک از دو قول</w:t>
      </w:r>
      <w:r w:rsidR="00C6621B">
        <w:rPr>
          <w:rFonts w:ascii="IRBadr" w:hAnsi="IRBadr" w:cs="IRBadr" w:hint="cs"/>
          <w:rtl/>
        </w:rPr>
        <w:t xml:space="preserve"> در این مساله</w:t>
      </w:r>
      <w:r w:rsidR="00A81279">
        <w:rPr>
          <w:rFonts w:ascii="IRBadr" w:hAnsi="IRBadr" w:cs="IRBadr" w:hint="cs"/>
          <w:rtl/>
        </w:rPr>
        <w:t xml:space="preserve">، استدلالاتی بیان شده است. یک استدلال برای اثبات زوجه بودن معتدّه رجعیه به این تقریب است: برای زوج جایز است که به معتدّه رجعیّه، نظر با شهوت داشته باشد. از طرف دیگر، قاعده آن است که نمی‌توان به اجنبیّه، نظر با شهوت داشت. نتیجه آن می‌شود که معتدّه رجعیّه در حقیقت، زوج است. </w:t>
      </w:r>
    </w:p>
    <w:p w:rsidR="00C6621B" w:rsidRDefault="00C6621B" w:rsidP="00C6621B">
      <w:pPr>
        <w:pStyle w:val="Heading3"/>
        <w:rPr>
          <w:rtl/>
        </w:rPr>
      </w:pPr>
      <w:bookmarkStart w:id="41" w:name="_Toc157295856"/>
      <w:r>
        <w:rPr>
          <w:rFonts w:hint="cs"/>
          <w:rtl/>
        </w:rPr>
        <w:t>دوران امر بین تخصیص و تخصّص</w:t>
      </w:r>
      <w:bookmarkEnd w:id="41"/>
    </w:p>
    <w:p w:rsidR="00217D2C" w:rsidRDefault="00A81279" w:rsidP="00C6621B">
      <w:pPr>
        <w:rPr>
          <w:rFonts w:ascii="IRBadr" w:hAnsi="IRBadr" w:cs="IRBadr"/>
          <w:rtl/>
        </w:rPr>
      </w:pPr>
      <w:r>
        <w:rPr>
          <w:rFonts w:ascii="IRBadr" w:hAnsi="IRBadr" w:cs="IRBadr" w:hint="cs"/>
          <w:rtl/>
        </w:rPr>
        <w:t>این استدلال بر اساس یک قاعده‌ اصولی است که خود</w:t>
      </w:r>
      <w:r w:rsidR="00C6621B">
        <w:rPr>
          <w:rFonts w:ascii="IRBadr" w:hAnsi="IRBadr" w:cs="IRBadr" w:hint="cs"/>
          <w:rtl/>
        </w:rPr>
        <w:t>،</w:t>
      </w:r>
      <w:r>
        <w:rPr>
          <w:rFonts w:ascii="IRBadr" w:hAnsi="IRBadr" w:cs="IRBadr" w:hint="cs"/>
          <w:rtl/>
        </w:rPr>
        <w:t xml:space="preserve"> محلّ اختلاف است. قاعده آن است که در روران امر بین تخصیص و تخصّص، با جریان اصالة العموم یا اصالة الأطلاق، تخصیص را نفی نماییم. این مساله محلّ اختلاف است. مرحوم شیخ، قاعده را پذیرفته ولی مرحوم آخوند به درستی این قول را نپذیرفته‌اند. ما این بحث را به تفصیل در مبحث عام و خاص بیان نمودیم. شاید مفصّل‌ترین بحثی که در این زمینه انجام شده، مباحثی بوده که </w:t>
      </w:r>
      <w:r w:rsidR="00C6621B">
        <w:rPr>
          <w:rFonts w:ascii="IRBadr" w:hAnsi="IRBadr" w:cs="IRBadr" w:hint="cs"/>
          <w:rtl/>
        </w:rPr>
        <w:t xml:space="preserve">ما </w:t>
      </w:r>
      <w:r>
        <w:rPr>
          <w:rFonts w:ascii="IRBadr" w:hAnsi="IRBadr" w:cs="IRBadr" w:hint="cs"/>
          <w:rtl/>
        </w:rPr>
        <w:t xml:space="preserve">در آن قسمت مطرح </w:t>
      </w:r>
      <w:r w:rsidR="00C6621B">
        <w:rPr>
          <w:rFonts w:ascii="IRBadr" w:hAnsi="IRBadr" w:cs="IRBadr" w:hint="cs"/>
          <w:rtl/>
        </w:rPr>
        <w:t>نمودیم</w:t>
      </w:r>
      <w:r>
        <w:rPr>
          <w:rFonts w:ascii="IRBadr" w:hAnsi="IRBadr" w:cs="IRBadr" w:hint="cs"/>
          <w:rtl/>
        </w:rPr>
        <w:t xml:space="preserve">، و نکاتی بیان </w:t>
      </w:r>
      <w:r w:rsidR="00C6621B">
        <w:rPr>
          <w:rFonts w:ascii="IRBadr" w:hAnsi="IRBadr" w:cs="IRBadr" w:hint="cs"/>
          <w:rtl/>
        </w:rPr>
        <w:t xml:space="preserve">نمودیم </w:t>
      </w:r>
      <w:r>
        <w:rPr>
          <w:rFonts w:ascii="IRBadr" w:hAnsi="IRBadr" w:cs="IRBadr" w:hint="cs"/>
          <w:rtl/>
        </w:rPr>
        <w:t xml:space="preserve">که دیگران متعرّض آن نگشته‌اند. ما اثبات نمودیم که در این دوران، حقّ با آخوند است و نمی‌توان اثبات تخصّص نمود. </w:t>
      </w:r>
      <w:r w:rsidR="00217D2C">
        <w:rPr>
          <w:rFonts w:ascii="IRBadr" w:hAnsi="IRBadr" w:cs="IRBadr" w:hint="cs"/>
          <w:rtl/>
        </w:rPr>
        <w:t>به نحو اجمال این بحث ارائه می‌شود.</w:t>
      </w:r>
    </w:p>
    <w:p w:rsidR="00B7270D" w:rsidRDefault="00217D2C" w:rsidP="00B7270D">
      <w:pPr>
        <w:rPr>
          <w:rFonts w:ascii="IRBadr" w:hAnsi="IRBadr" w:cs="IRBadr"/>
          <w:rtl/>
        </w:rPr>
      </w:pPr>
      <w:r>
        <w:rPr>
          <w:rFonts w:ascii="IRBadr" w:hAnsi="IRBadr" w:cs="IRBadr" w:hint="cs"/>
          <w:rtl/>
        </w:rPr>
        <w:t>اگر</w:t>
      </w:r>
      <w:r w:rsidR="00B7270D">
        <w:rPr>
          <w:rFonts w:ascii="IRBadr" w:hAnsi="IRBadr" w:cs="IRBadr" w:hint="cs"/>
          <w:rtl/>
        </w:rPr>
        <w:t xml:space="preserve"> بدانیم</w:t>
      </w:r>
      <w:r>
        <w:rPr>
          <w:rFonts w:ascii="IRBadr" w:hAnsi="IRBadr" w:cs="IRBadr" w:hint="cs"/>
          <w:rtl/>
        </w:rPr>
        <w:t xml:space="preserve"> اکرام علما واجب </w:t>
      </w:r>
      <w:r w:rsidR="00B7270D">
        <w:rPr>
          <w:rFonts w:ascii="IRBadr" w:hAnsi="IRBadr" w:cs="IRBadr" w:hint="cs"/>
          <w:rtl/>
        </w:rPr>
        <w:t xml:space="preserve">است </w:t>
      </w:r>
      <w:r>
        <w:rPr>
          <w:rFonts w:ascii="IRBadr" w:hAnsi="IRBadr" w:cs="IRBadr" w:hint="cs"/>
          <w:rtl/>
        </w:rPr>
        <w:t xml:space="preserve">و </w:t>
      </w:r>
      <w:r w:rsidR="00B7270D">
        <w:rPr>
          <w:rFonts w:ascii="IRBadr" w:hAnsi="IRBadr" w:cs="IRBadr" w:hint="cs"/>
          <w:rtl/>
        </w:rPr>
        <w:t>همینطور بدانیم که زید، وجوب اکرام ندارد،</w:t>
      </w:r>
      <w:r>
        <w:rPr>
          <w:rFonts w:ascii="IRBadr" w:hAnsi="IRBadr" w:cs="IRBadr" w:hint="cs"/>
          <w:rtl/>
        </w:rPr>
        <w:t xml:space="preserve"> ولی ندانیم که زید عالم نیست یا آنکه عالم است و تخصیص زده شده است، در این صورت، «اکرم العلما» معنایش آن است که «کلّ عالم واجب الاکرام». عکس نقیض این قضیه به این صورت </w:t>
      </w:r>
      <w:r>
        <w:rPr>
          <w:rFonts w:ascii="IRBadr" w:hAnsi="IRBadr" w:cs="IRBadr" w:hint="cs"/>
          <w:rtl/>
        </w:rPr>
        <w:lastRenderedPageBreak/>
        <w:t>است: «کل من لم یجب اکرامه فلیس بعالم». این کبری اگر ضمیمه شود به صغرای «زید لیس بواجب الاکرام» نتیجه آن می‌شود که «زید لیس بعالم». نتیجه این بحث</w:t>
      </w:r>
      <w:r w:rsidR="00B7270D">
        <w:rPr>
          <w:rFonts w:ascii="IRBadr" w:hAnsi="IRBadr" w:cs="IRBadr" w:hint="cs"/>
          <w:rtl/>
        </w:rPr>
        <w:t>،</w:t>
      </w:r>
      <w:r>
        <w:rPr>
          <w:rFonts w:ascii="IRBadr" w:hAnsi="IRBadr" w:cs="IRBadr" w:hint="cs"/>
          <w:rtl/>
        </w:rPr>
        <w:t xml:space="preserve"> در خود</w:t>
      </w:r>
      <w:r w:rsidR="00B7270D">
        <w:rPr>
          <w:rFonts w:ascii="IRBadr" w:hAnsi="IRBadr" w:cs="IRBadr" w:hint="cs"/>
          <w:rtl/>
        </w:rPr>
        <w:t>ِ</w:t>
      </w:r>
      <w:r>
        <w:rPr>
          <w:rFonts w:ascii="IRBadr" w:hAnsi="IRBadr" w:cs="IRBadr" w:hint="cs"/>
          <w:rtl/>
        </w:rPr>
        <w:t xml:space="preserve"> مساله ظاهر نمی‌شود. زید چه عالم باشد و چه نباشد، اکرامش واجب نیست. بلکه در مباحث دیگر ثمرات مساله روشن می‌شود. اگر عالم‌نبودن زید ثابت شود، تمامی احکامی که بر غیر عالم بار می‌شود، بر زید هم بار می‌گردد. </w:t>
      </w:r>
    </w:p>
    <w:p w:rsidR="00217D2C" w:rsidRDefault="00217D2C" w:rsidP="00B7270D">
      <w:pPr>
        <w:rPr>
          <w:rFonts w:ascii="IRBadr" w:hAnsi="IRBadr" w:cs="IRBadr"/>
          <w:rtl/>
        </w:rPr>
      </w:pPr>
      <w:r>
        <w:rPr>
          <w:rFonts w:ascii="IRBadr" w:hAnsi="IRBadr" w:cs="IRBadr" w:hint="cs"/>
          <w:rtl/>
        </w:rPr>
        <w:t xml:space="preserve">در مثال معتدّه رجعیّه </w:t>
      </w:r>
      <w:r w:rsidR="00B7270D">
        <w:rPr>
          <w:rFonts w:ascii="IRBadr" w:hAnsi="IRBadr" w:cs="IRBadr" w:hint="cs"/>
          <w:rtl/>
        </w:rPr>
        <w:t xml:space="preserve">نیز </w:t>
      </w:r>
      <w:r>
        <w:rPr>
          <w:rFonts w:ascii="IRBadr" w:hAnsi="IRBadr" w:cs="IRBadr" w:hint="cs"/>
          <w:rtl/>
        </w:rPr>
        <w:t>بحث به این صورت است که یک دلیل دلالت دارد بر آنکه «کلّ اجنبیّة یحرم النظر الیها بشهوة». عکس نقیض این قضیه به این صورت است: «کل من لایحرم النظر الیها بشهوة فلیست بأجنبیّة». از طرفی به یک قضیه علم داریم که «المعتدّة الرجعیّة لا یحرم النظر الیها بشهوة». نتیجه آن می‌شود که «المعتدّة الرجعیّة لیست بأجنبیّة فهی زوجة».</w:t>
      </w:r>
    </w:p>
    <w:p w:rsidR="00217D2C" w:rsidRDefault="00217D2C" w:rsidP="00217D2C">
      <w:pPr>
        <w:rPr>
          <w:rFonts w:ascii="IRBadr" w:hAnsi="IRBadr" w:cs="IRBadr"/>
          <w:rtl/>
        </w:rPr>
      </w:pPr>
      <w:r>
        <w:rPr>
          <w:rFonts w:ascii="IRBadr" w:hAnsi="IRBadr" w:cs="IRBadr" w:hint="cs"/>
          <w:rtl/>
        </w:rPr>
        <w:t xml:space="preserve">این استدلال مبتنی بر آن است که در دوران مزبور، تخصّص پذیرفته شود. یعنی علم داریم به آنکه معتدّه رجعیّه چه زوجه باشد و چه نباشد، نظر با شهوت به او جایز است. اگر زوجه باشد، جواز نظر از باب تخصّص است، و اگر زوجه نباشد، از باب تخصیص است. </w:t>
      </w:r>
    </w:p>
    <w:p w:rsidR="00B7270D" w:rsidRDefault="00B7270D" w:rsidP="00B7270D">
      <w:pPr>
        <w:pStyle w:val="Heading3"/>
        <w:rPr>
          <w:rtl/>
        </w:rPr>
      </w:pPr>
      <w:bookmarkStart w:id="42" w:name="_Toc157295857"/>
      <w:r>
        <w:rPr>
          <w:rFonts w:hint="cs"/>
          <w:rtl/>
        </w:rPr>
        <w:t>دوران تخصیص و تخصّص در محلّ بحث</w:t>
      </w:r>
      <w:bookmarkEnd w:id="42"/>
    </w:p>
    <w:p w:rsidR="00217D2C" w:rsidRDefault="00217D2C" w:rsidP="00217D2C">
      <w:pPr>
        <w:rPr>
          <w:rFonts w:ascii="IRBadr" w:hAnsi="IRBadr" w:cs="IRBadr"/>
          <w:rtl/>
        </w:rPr>
      </w:pPr>
      <w:r>
        <w:rPr>
          <w:rFonts w:ascii="IRBadr" w:hAnsi="IRBadr" w:cs="IRBadr" w:hint="cs"/>
          <w:rtl/>
        </w:rPr>
        <w:t>سوال ما از جناب آیت الله والد آن بود که مباحثی که ایشان در پاسخ به صاحب مدارک بیان کردند آیا از باب دوران امر بین تخصیص و تخصّص است یا آنکه این‌گونه نیست. اگر از باب دوران باشد که شما موافق با آخوند هستید و اصل تخصّص در این موارد را نپذیرفته‌اید.</w:t>
      </w:r>
    </w:p>
    <w:p w:rsidR="00217D2C" w:rsidRDefault="00217D2C" w:rsidP="00B7270D">
      <w:pPr>
        <w:rPr>
          <w:rFonts w:ascii="IRBadr" w:hAnsi="IRBadr" w:cs="IRBadr"/>
          <w:rtl/>
        </w:rPr>
      </w:pPr>
      <w:r>
        <w:rPr>
          <w:rFonts w:ascii="IRBadr" w:hAnsi="IRBadr" w:cs="IRBadr" w:hint="cs"/>
          <w:rtl/>
        </w:rPr>
        <w:t>ایشان بیان کرده‌اند که محل بحث، ارتباطی به آن مساله اصولی ندارد. در محل بحث، تخصیص</w:t>
      </w:r>
      <w:r w:rsidR="00B7270D">
        <w:rPr>
          <w:rFonts w:ascii="IRBadr" w:hAnsi="IRBadr" w:cs="IRBadr" w:hint="cs"/>
          <w:rtl/>
        </w:rPr>
        <w:t>ی</w:t>
      </w:r>
      <w:r>
        <w:rPr>
          <w:rFonts w:ascii="IRBadr" w:hAnsi="IRBadr" w:cs="IRBadr" w:hint="cs"/>
          <w:rtl/>
        </w:rPr>
        <w:t xml:space="preserve"> رخ نمی‌دهد که برای فرار از </w:t>
      </w:r>
      <w:r w:rsidR="00B7270D">
        <w:rPr>
          <w:rFonts w:ascii="IRBadr" w:hAnsi="IRBadr" w:cs="IRBadr" w:hint="cs"/>
          <w:rtl/>
        </w:rPr>
        <w:t>آن</w:t>
      </w:r>
      <w:r>
        <w:rPr>
          <w:rFonts w:ascii="IRBadr" w:hAnsi="IRBadr" w:cs="IRBadr" w:hint="cs"/>
          <w:rtl/>
        </w:rPr>
        <w:t>، بخ</w:t>
      </w:r>
      <w:r w:rsidR="00B7270D">
        <w:rPr>
          <w:rFonts w:ascii="IRBadr" w:hAnsi="IRBadr" w:cs="IRBadr" w:hint="cs"/>
          <w:rtl/>
        </w:rPr>
        <w:t>واهیم قائل به این مباحث شویم، و تخصّص را ثابت نماییم.</w:t>
      </w:r>
    </w:p>
    <w:p w:rsidR="0024338F" w:rsidRDefault="0024338F" w:rsidP="00B7270D">
      <w:pPr>
        <w:rPr>
          <w:rFonts w:ascii="IRBadr" w:hAnsi="IRBadr" w:cs="IRBadr"/>
          <w:rtl/>
        </w:rPr>
      </w:pPr>
      <w:r>
        <w:rPr>
          <w:rFonts w:ascii="IRBadr" w:hAnsi="IRBadr" w:cs="IRBadr" w:hint="cs"/>
          <w:rtl/>
        </w:rPr>
        <w:t xml:space="preserve">به عنوان مثال </w:t>
      </w:r>
      <w:r w:rsidR="00B7270D">
        <w:rPr>
          <w:rFonts w:ascii="IRBadr" w:hAnsi="IRBadr" w:cs="IRBadr" w:hint="cs"/>
          <w:rtl/>
        </w:rPr>
        <w:t xml:space="preserve">به این استدلال دقّت نمایید: </w:t>
      </w:r>
      <w:r>
        <w:rPr>
          <w:rFonts w:ascii="IRBadr" w:hAnsi="IRBadr" w:cs="IRBadr" w:hint="cs"/>
          <w:rtl/>
        </w:rPr>
        <w:t xml:space="preserve">اگر متعلّق زکات، عین نباشد، نباید زکات بر سایر دیون مقدّم گردد. ولی می‌دانیم که زکات بر سایر دیون مقدّم است. پس نتیجه آن می‌شود که </w:t>
      </w:r>
      <w:r w:rsidR="00B7270D">
        <w:rPr>
          <w:rFonts w:ascii="IRBadr" w:hAnsi="IRBadr" w:cs="IRBadr" w:hint="cs"/>
          <w:rtl/>
        </w:rPr>
        <w:t xml:space="preserve">متعلّق زکات، </w:t>
      </w:r>
      <w:r>
        <w:rPr>
          <w:rFonts w:ascii="IRBadr" w:hAnsi="IRBadr" w:cs="IRBadr" w:hint="cs"/>
          <w:rtl/>
        </w:rPr>
        <w:t xml:space="preserve">عین است. این استدلال نظیر دوران امر بین تخصیص و تخصّص است. یک اشکال </w:t>
      </w:r>
      <w:r w:rsidR="00B7270D">
        <w:rPr>
          <w:rFonts w:ascii="IRBadr" w:hAnsi="IRBadr" w:cs="IRBadr" w:hint="cs"/>
          <w:rtl/>
        </w:rPr>
        <w:t xml:space="preserve">که </w:t>
      </w:r>
      <w:r>
        <w:rPr>
          <w:rFonts w:ascii="IRBadr" w:hAnsi="IRBadr" w:cs="IRBadr" w:hint="cs"/>
          <w:rtl/>
        </w:rPr>
        <w:t>در این استدلال</w:t>
      </w:r>
      <w:r w:rsidR="00B7270D">
        <w:rPr>
          <w:rFonts w:ascii="IRBadr" w:hAnsi="IRBadr" w:cs="IRBadr" w:hint="cs"/>
          <w:rtl/>
        </w:rPr>
        <w:t xml:space="preserve"> ممکن است مطرح شود</w:t>
      </w:r>
      <w:r>
        <w:rPr>
          <w:rFonts w:ascii="IRBadr" w:hAnsi="IRBadr" w:cs="IRBadr" w:hint="cs"/>
          <w:rtl/>
        </w:rPr>
        <w:t xml:space="preserve">، </w:t>
      </w:r>
      <w:r w:rsidR="00B7270D">
        <w:rPr>
          <w:rFonts w:ascii="IRBadr" w:hAnsi="IRBadr" w:cs="IRBadr" w:hint="cs"/>
          <w:rtl/>
        </w:rPr>
        <w:t xml:space="preserve">اشکال در </w:t>
      </w:r>
      <w:r>
        <w:rPr>
          <w:rFonts w:ascii="IRBadr" w:hAnsi="IRBadr" w:cs="IRBadr" w:hint="cs"/>
          <w:rtl/>
        </w:rPr>
        <w:t xml:space="preserve">بطلان تالی است که جناب آیت الله والد </w:t>
      </w:r>
      <w:r w:rsidR="00B7270D">
        <w:rPr>
          <w:rFonts w:ascii="IRBadr" w:hAnsi="IRBadr" w:cs="IRBadr" w:hint="cs"/>
          <w:rtl/>
        </w:rPr>
        <w:t>از آن بحث نکرده‌اند</w:t>
      </w:r>
      <w:r>
        <w:rPr>
          <w:rFonts w:ascii="IRBadr" w:hAnsi="IRBadr" w:cs="IRBadr" w:hint="cs"/>
          <w:rtl/>
        </w:rPr>
        <w:t>. اشکال دیگر، مناقشه در ملازمه است.</w:t>
      </w:r>
    </w:p>
    <w:p w:rsidR="005D6C16" w:rsidRDefault="0024338F" w:rsidP="00B7270D">
      <w:pPr>
        <w:rPr>
          <w:rFonts w:ascii="IRBadr" w:hAnsi="IRBadr" w:cs="IRBadr"/>
          <w:rtl/>
        </w:rPr>
      </w:pPr>
      <w:r>
        <w:rPr>
          <w:rFonts w:ascii="IRBadr" w:hAnsi="IRBadr" w:cs="IRBadr" w:hint="cs"/>
          <w:rtl/>
        </w:rPr>
        <w:t xml:space="preserve">ایشان بیان کرده‌اند که ملازمه </w:t>
      </w:r>
      <w:r w:rsidR="00B7270D">
        <w:rPr>
          <w:rFonts w:ascii="IRBadr" w:hAnsi="IRBadr" w:cs="IRBadr" w:hint="cs"/>
          <w:rtl/>
        </w:rPr>
        <w:t>مذکور</w:t>
      </w:r>
      <w:r>
        <w:rPr>
          <w:rFonts w:ascii="IRBadr" w:hAnsi="IRBadr" w:cs="IRBadr" w:hint="cs"/>
          <w:rtl/>
        </w:rPr>
        <w:t xml:space="preserve"> در استدلال، صحیح نیست. در توضیح باید گفت که دیون همگی نظیر یکدیگرند و هیچ دینی بر دین دیگر مقدّم نیست. اگر زکات دین باشد، و تعلّق به عین نداشته باشد، باید قانون عدمِ تقدّم دیون بر یکدیگر، تخصیص خورده باشد. جناب آیت الله والد بیان کرده‌اند که چنین عام و کبرایی کلّی وجود ندارد که </w:t>
      </w:r>
      <w:r w:rsidR="00F9167A">
        <w:rPr>
          <w:rFonts w:ascii="IRBadr" w:hAnsi="IRBadr" w:cs="IRBadr" w:hint="cs"/>
          <w:rtl/>
        </w:rPr>
        <w:t xml:space="preserve">دلالت کند </w:t>
      </w:r>
      <w:r>
        <w:rPr>
          <w:rFonts w:ascii="IRBadr" w:hAnsi="IRBadr" w:cs="IRBadr" w:hint="cs"/>
          <w:rtl/>
        </w:rPr>
        <w:t xml:space="preserve">مثلا </w:t>
      </w:r>
      <w:r w:rsidR="00F9167A">
        <w:rPr>
          <w:rFonts w:ascii="IRBadr" w:hAnsi="IRBadr" w:cs="IRBadr" w:hint="cs"/>
          <w:rtl/>
        </w:rPr>
        <w:t xml:space="preserve">بر آنکه </w:t>
      </w:r>
      <w:r>
        <w:rPr>
          <w:rFonts w:ascii="IRBadr" w:hAnsi="IRBadr" w:cs="IRBadr" w:hint="cs"/>
          <w:rtl/>
        </w:rPr>
        <w:t>«کلّ دین مساو للدین الأخر</w:t>
      </w:r>
      <w:r w:rsidR="00B7270D">
        <w:rPr>
          <w:rFonts w:ascii="IRBadr" w:hAnsi="IRBadr" w:cs="IRBadr" w:hint="cs"/>
          <w:rtl/>
        </w:rPr>
        <w:t>» یا مثلا دلیل</w:t>
      </w:r>
      <w:r>
        <w:rPr>
          <w:rFonts w:ascii="IRBadr" w:hAnsi="IRBadr" w:cs="IRBadr" w:hint="cs"/>
          <w:rtl/>
        </w:rPr>
        <w:t xml:space="preserve"> عامی وجود ندارد که </w:t>
      </w:r>
      <w:r w:rsidR="00F9167A">
        <w:rPr>
          <w:rFonts w:ascii="IRBadr" w:hAnsi="IRBadr" w:cs="IRBadr" w:hint="cs"/>
          <w:rtl/>
        </w:rPr>
        <w:t xml:space="preserve">دلالت کند:‌ </w:t>
      </w:r>
      <w:r>
        <w:rPr>
          <w:rFonts w:ascii="IRBadr" w:hAnsi="IRBadr" w:cs="IRBadr" w:hint="cs"/>
          <w:rtl/>
        </w:rPr>
        <w:t>«لا یتقدّم دین علی دین»</w:t>
      </w:r>
      <w:r w:rsidR="00F9167A">
        <w:rPr>
          <w:rFonts w:ascii="IRBadr" w:hAnsi="IRBadr" w:cs="IRBadr" w:hint="cs"/>
          <w:rtl/>
        </w:rPr>
        <w:t>. بنابرین، اگر قائل به تقدیم یک دین به دین دیگر شویم، هیچ عامی را تخصیص نزده‌ایم.</w:t>
      </w:r>
    </w:p>
    <w:p w:rsidR="00B7270D" w:rsidRDefault="00195BA5" w:rsidP="00B7270D">
      <w:pPr>
        <w:pStyle w:val="Heading3"/>
        <w:rPr>
          <w:rtl/>
        </w:rPr>
      </w:pPr>
      <w:bookmarkStart w:id="43" w:name="_Toc157295858"/>
      <w:r>
        <w:rPr>
          <w:rFonts w:hint="cs"/>
          <w:rtl/>
        </w:rPr>
        <w:t xml:space="preserve">دلالت </w:t>
      </w:r>
      <w:r w:rsidR="00B7270D">
        <w:rPr>
          <w:rFonts w:hint="cs"/>
          <w:rtl/>
        </w:rPr>
        <w:t>اطلاق مقامی مجموع ادلّه</w:t>
      </w:r>
      <w:r>
        <w:rPr>
          <w:rFonts w:hint="cs"/>
          <w:rtl/>
        </w:rPr>
        <w:t xml:space="preserve"> بر کلام صاحب مدارک</w:t>
      </w:r>
      <w:bookmarkEnd w:id="43"/>
      <w:r>
        <w:rPr>
          <w:rFonts w:hint="cs"/>
          <w:rtl/>
        </w:rPr>
        <w:t xml:space="preserve"> </w:t>
      </w:r>
    </w:p>
    <w:p w:rsidR="00F9167A" w:rsidRDefault="00F9167A" w:rsidP="00B83ADF">
      <w:pPr>
        <w:rPr>
          <w:rFonts w:ascii="IRBadr" w:hAnsi="IRBadr" w:cs="IRBadr"/>
          <w:rtl/>
        </w:rPr>
      </w:pPr>
      <w:r>
        <w:rPr>
          <w:rFonts w:ascii="IRBadr" w:hAnsi="IRBadr" w:cs="IRBadr" w:hint="cs"/>
          <w:rtl/>
        </w:rPr>
        <w:t>سوالی که پیش می‌آید آن است که از چه رو گفته می‌شود که تمامی دیون مساوی هستند؟ شاید برخی از دیون بر برخی دیگر مقدّم باشد. پاسخ آن است که لازمه اطلاق مقامی مجموع ادلّه آن است که دینی بر دین دیگر مقدّم نیست. اگر دلیلی بر تقدیم یک دین بر دین دیگر وجود داشت، آن را مقدّم می‌داشتیم، ولی اگر دلیلی بر تقدیم یک دین وجود نداشت، حکم می‌کنیم به آنکه تمامی دیون مساوی هستند؛ چرا که اگر یکی بر دیگری مقدّم بود، شارع باید تا ظرف عمل ذکر می‌نمود</w:t>
      </w:r>
      <w:r w:rsidR="00B83ADF">
        <w:rPr>
          <w:rStyle w:val="FootnoteReference"/>
          <w:rFonts w:ascii="IRBadr" w:hAnsi="IRBadr" w:cs="IRBadr"/>
          <w:rtl/>
        </w:rPr>
        <w:footnoteReference w:id="10"/>
      </w:r>
      <w:r>
        <w:rPr>
          <w:rFonts w:ascii="IRBadr" w:hAnsi="IRBadr" w:cs="IRBadr" w:hint="cs"/>
          <w:rtl/>
        </w:rPr>
        <w:t xml:space="preserve">. </w:t>
      </w:r>
    </w:p>
    <w:p w:rsidR="00B83ADF" w:rsidRDefault="00B7270D" w:rsidP="00195BA5">
      <w:pPr>
        <w:rPr>
          <w:rFonts w:ascii="IRBadr" w:hAnsi="IRBadr" w:cs="IRBadr"/>
          <w:rtl/>
        </w:rPr>
      </w:pPr>
      <w:r>
        <w:rPr>
          <w:rFonts w:ascii="IRBadr" w:hAnsi="IRBadr" w:cs="IRBadr" w:hint="cs"/>
          <w:rtl/>
        </w:rPr>
        <w:lastRenderedPageBreak/>
        <w:t>آیت الله والد</w:t>
      </w:r>
      <w:r w:rsidR="00B83ADF">
        <w:rPr>
          <w:rFonts w:ascii="IRBadr" w:hAnsi="IRBadr" w:cs="IRBadr" w:hint="cs"/>
          <w:rtl/>
        </w:rPr>
        <w:t xml:space="preserve"> در محل بحث بیان کرده‌اند: تساوی دیون</w:t>
      </w:r>
      <w:r>
        <w:rPr>
          <w:rFonts w:ascii="IRBadr" w:hAnsi="IRBadr" w:cs="IRBadr" w:hint="cs"/>
          <w:rtl/>
        </w:rPr>
        <w:t>،</w:t>
      </w:r>
      <w:r w:rsidR="00B83ADF">
        <w:rPr>
          <w:rFonts w:ascii="IRBadr" w:hAnsi="IRBadr" w:cs="IRBadr" w:hint="cs"/>
          <w:rtl/>
        </w:rPr>
        <w:t xml:space="preserve"> مقتضای اطلاق مقامی مجموع ادلّه است؛ نه آنکه مقتضای اطلاق مقامی یک دلیل واحد باشد. بنابرین، اگر کسی </w:t>
      </w:r>
      <w:r>
        <w:rPr>
          <w:rFonts w:ascii="IRBadr" w:hAnsi="IRBadr" w:cs="IRBadr" w:hint="cs"/>
          <w:rtl/>
        </w:rPr>
        <w:t>دلیلی اقامه نمود بر آنکه زکات به ذمّه تعلّق دارد</w:t>
      </w:r>
      <w:r w:rsidR="00B83ADF">
        <w:rPr>
          <w:rFonts w:ascii="IRBadr" w:hAnsi="IRBadr" w:cs="IRBadr" w:hint="cs"/>
          <w:rtl/>
        </w:rPr>
        <w:t>،</w:t>
      </w:r>
      <w:r>
        <w:rPr>
          <w:rFonts w:ascii="IRBadr" w:hAnsi="IRBadr" w:cs="IRBadr" w:hint="cs"/>
          <w:rtl/>
        </w:rPr>
        <w:t xml:space="preserve"> در این صورت،</w:t>
      </w:r>
      <w:r w:rsidR="00B83ADF">
        <w:rPr>
          <w:rFonts w:ascii="IRBadr" w:hAnsi="IRBadr" w:cs="IRBadr" w:hint="cs"/>
          <w:rtl/>
        </w:rPr>
        <w:t xml:space="preserve"> استدلالاتی که صاحب مدارک بیان نموده، نمی‌تواند</w:t>
      </w:r>
      <w:r>
        <w:rPr>
          <w:rFonts w:ascii="IRBadr" w:hAnsi="IRBadr" w:cs="IRBadr" w:hint="cs"/>
          <w:rtl/>
        </w:rPr>
        <w:t xml:space="preserve"> در مقابل آن دلیل مقاومت نماید؛ چرا که</w:t>
      </w:r>
      <w:r w:rsidR="00195BA5">
        <w:rPr>
          <w:rFonts w:ascii="IRBadr" w:hAnsi="IRBadr" w:cs="IRBadr" w:hint="cs"/>
          <w:rtl/>
        </w:rPr>
        <w:t xml:space="preserve"> پشتوانه استدلالات صاحب مدارک، اطلاق مقامی مجموعه ادلّه است، و</w:t>
      </w:r>
      <w:r w:rsidR="00B83ADF">
        <w:rPr>
          <w:rFonts w:ascii="IRBadr" w:hAnsi="IRBadr" w:cs="IRBadr" w:hint="cs"/>
          <w:rtl/>
        </w:rPr>
        <w:t xml:space="preserve"> د</w:t>
      </w:r>
      <w:r>
        <w:rPr>
          <w:rFonts w:ascii="IRBadr" w:hAnsi="IRBadr" w:cs="IRBadr" w:hint="cs"/>
          <w:rtl/>
        </w:rPr>
        <w:t>لیلِ</w:t>
      </w:r>
      <w:r w:rsidR="00B83ADF">
        <w:rPr>
          <w:rFonts w:ascii="IRBadr" w:hAnsi="IRBadr" w:cs="IRBadr" w:hint="cs"/>
          <w:rtl/>
        </w:rPr>
        <w:t xml:space="preserve"> مثبِت تعلّق زکات</w:t>
      </w:r>
      <w:r>
        <w:rPr>
          <w:rFonts w:ascii="IRBadr" w:hAnsi="IRBadr" w:cs="IRBadr" w:hint="cs"/>
          <w:rtl/>
        </w:rPr>
        <w:t xml:space="preserve"> به ذمّه</w:t>
      </w:r>
      <w:r w:rsidR="00B83ADF">
        <w:rPr>
          <w:rFonts w:ascii="IRBadr" w:hAnsi="IRBadr" w:cs="IRBadr" w:hint="cs"/>
          <w:rtl/>
        </w:rPr>
        <w:t>، اطلاق مقا</w:t>
      </w:r>
      <w:r w:rsidR="00195BA5">
        <w:rPr>
          <w:rFonts w:ascii="IRBadr" w:hAnsi="IRBadr" w:cs="IRBadr" w:hint="cs"/>
          <w:rtl/>
        </w:rPr>
        <w:t>می مجموع ادلّه را از بین می‌برد؛</w:t>
      </w:r>
      <w:r w:rsidR="00E00FA1">
        <w:rPr>
          <w:rFonts w:ascii="IRBadr" w:hAnsi="IRBadr" w:cs="IRBadr" w:hint="cs"/>
          <w:rtl/>
        </w:rPr>
        <w:t xml:space="preserve"> </w:t>
      </w:r>
      <w:r w:rsidR="009E4D0A">
        <w:rPr>
          <w:rFonts w:ascii="IRBadr" w:hAnsi="IRBadr" w:cs="IRBadr" w:hint="cs"/>
          <w:rtl/>
        </w:rPr>
        <w:t xml:space="preserve">بلکه حتّی نیاز به اقامه دلیل </w:t>
      </w:r>
      <w:r w:rsidR="00195BA5">
        <w:rPr>
          <w:rFonts w:ascii="IRBadr" w:hAnsi="IRBadr" w:cs="IRBadr" w:hint="cs"/>
          <w:rtl/>
        </w:rPr>
        <w:t xml:space="preserve">بر تعلّق زکات به ذمّه </w:t>
      </w:r>
      <w:r w:rsidR="009E4D0A">
        <w:rPr>
          <w:rFonts w:ascii="IRBadr" w:hAnsi="IRBadr" w:cs="IRBadr" w:hint="cs"/>
          <w:rtl/>
        </w:rPr>
        <w:t>نیست؛ بلکه احتمال تعلّق زکات به ذمّه هم وجود داشته باشد، نمی‌توان با اطلاق مقامی آن را نفی نمود؛ چرا که در هر صورت</w:t>
      </w:r>
      <w:r w:rsidR="00195BA5">
        <w:rPr>
          <w:rFonts w:ascii="IRBadr" w:hAnsi="IRBadr" w:cs="IRBadr" w:hint="cs"/>
          <w:rtl/>
        </w:rPr>
        <w:t>،</w:t>
      </w:r>
      <w:r w:rsidR="009E4D0A">
        <w:rPr>
          <w:rFonts w:ascii="IRBadr" w:hAnsi="IRBadr" w:cs="IRBadr" w:hint="cs"/>
          <w:rtl/>
        </w:rPr>
        <w:t xml:space="preserve"> دلیلی بر تقدیم یک د</w:t>
      </w:r>
      <w:r w:rsidR="00195BA5">
        <w:rPr>
          <w:rFonts w:ascii="IRBadr" w:hAnsi="IRBadr" w:cs="IRBadr" w:hint="cs"/>
          <w:rtl/>
        </w:rPr>
        <w:t>ِ</w:t>
      </w:r>
      <w:r w:rsidR="009E4D0A">
        <w:rPr>
          <w:rFonts w:ascii="IRBadr" w:hAnsi="IRBadr" w:cs="IRBadr" w:hint="cs"/>
          <w:rtl/>
        </w:rPr>
        <w:t>ین بر دین دیگر اقامه شده است.</w:t>
      </w:r>
    </w:p>
    <w:p w:rsidR="009E4D0A" w:rsidRDefault="009E4D0A" w:rsidP="00195BA5">
      <w:pPr>
        <w:rPr>
          <w:rFonts w:ascii="IRBadr" w:hAnsi="IRBadr" w:cs="IRBadr"/>
          <w:rtl/>
        </w:rPr>
      </w:pPr>
      <w:r>
        <w:rPr>
          <w:rFonts w:ascii="IRBadr" w:hAnsi="IRBadr" w:cs="IRBadr" w:hint="cs"/>
          <w:rtl/>
        </w:rPr>
        <w:t xml:space="preserve">یعنی این مقدار اگر مسلّم باشد و دلیل بر آن وجود داشته باشد که زکات بر سایر دیون مقدّم است، همین دلیل، نافی اطلاق مقامی است. </w:t>
      </w:r>
      <w:r w:rsidR="00195BA5">
        <w:rPr>
          <w:rFonts w:ascii="IRBadr" w:hAnsi="IRBadr" w:cs="IRBadr" w:hint="cs"/>
          <w:rtl/>
        </w:rPr>
        <w:t>پس نمی‌توان</w:t>
      </w:r>
      <w:r>
        <w:rPr>
          <w:rFonts w:ascii="IRBadr" w:hAnsi="IRBadr" w:cs="IRBadr" w:hint="cs"/>
          <w:rtl/>
        </w:rPr>
        <w:t xml:space="preserve"> ذمّه‌بودن </w:t>
      </w:r>
      <w:r w:rsidR="00195BA5">
        <w:rPr>
          <w:rFonts w:ascii="IRBadr" w:hAnsi="IRBadr" w:cs="IRBadr" w:hint="cs"/>
          <w:rtl/>
        </w:rPr>
        <w:t xml:space="preserve">متعلّق زکات </w:t>
      </w:r>
      <w:r>
        <w:rPr>
          <w:rFonts w:ascii="IRBadr" w:hAnsi="IRBadr" w:cs="IRBadr" w:hint="cs"/>
          <w:rtl/>
        </w:rPr>
        <w:t>را نفی کرد؛ چرا که فرض آن است که بطلان تالی، مستدلّ است. دلیل قائم بر بطلان تالی در استدلال مزبور از صاحب مدارک، خود، دلیل بر نفی ملازمه‌ای است که می‌خواست با اطلاق مقامی ثابت گردد. اگر ملازمه، مفاد یک دلیل لفظی باشد، مساله دوران ا</w:t>
      </w:r>
      <w:r w:rsidR="00195BA5">
        <w:rPr>
          <w:rFonts w:ascii="IRBadr" w:hAnsi="IRBadr" w:cs="IRBadr" w:hint="cs"/>
          <w:rtl/>
        </w:rPr>
        <w:t>مر بین تخصیص و تخصّص پیش می‌آمد ولی این‌گونه نیست بلکه اطلاق مقامی وجود دارد.</w:t>
      </w:r>
      <w:r>
        <w:rPr>
          <w:rFonts w:ascii="IRBadr" w:hAnsi="IRBadr" w:cs="IRBadr" w:hint="cs"/>
          <w:rtl/>
        </w:rPr>
        <w:t xml:space="preserve"> آیت الله والد فرموده‌اند که شما در صدد آن هستید که با اطلاق مقامی، آن ملازمه را ثابت نمایید، و در جایی که دلیل بر بطلان تالی وجود داشته باشد، اطلاق مقامی مجموع ادلّه شکل نمی‌گیرد.</w:t>
      </w:r>
    </w:p>
    <w:p w:rsidR="00B7270D" w:rsidRDefault="00B7270D" w:rsidP="00B7270D">
      <w:pPr>
        <w:pStyle w:val="Heading1"/>
        <w:rPr>
          <w:rtl/>
        </w:rPr>
      </w:pPr>
      <w:bookmarkStart w:id="44" w:name="_Toc157295859"/>
      <w:r>
        <w:rPr>
          <w:rFonts w:hint="cs"/>
          <w:rtl/>
        </w:rPr>
        <w:t>بررسی عبارتی از منتهی</w:t>
      </w:r>
      <w:bookmarkEnd w:id="44"/>
    </w:p>
    <w:p w:rsidR="009E4D0A" w:rsidRDefault="009E4D0A" w:rsidP="009E4D0A">
      <w:pPr>
        <w:rPr>
          <w:rFonts w:ascii="IRBadr" w:hAnsi="IRBadr" w:cs="IRBadr"/>
          <w:rtl/>
        </w:rPr>
      </w:pPr>
      <w:r>
        <w:rPr>
          <w:rFonts w:ascii="IRBadr" w:hAnsi="IRBadr" w:cs="IRBadr" w:hint="cs"/>
          <w:rtl/>
        </w:rPr>
        <w:t>اکثر علمای عامه قائل شده‌اند به آنکه زکات به عین تعلّق دارد. شافعی در مقابل، قائل به تعلّق به ذمّه شده است. در منتهی استدلالات ایشان بیان شده است. عبارت منتهی نیاز به توضیحی دارد که بیان می‌گردد. در منتهی آمده است:</w:t>
      </w:r>
    </w:p>
    <w:p w:rsidR="009E4D0A" w:rsidRDefault="00DA4EF5" w:rsidP="009E4D0A">
      <w:pPr>
        <w:rPr>
          <w:rFonts w:ascii="IRBadr" w:hAnsi="IRBadr" w:cs="IRBadr"/>
          <w:rtl/>
        </w:rPr>
      </w:pPr>
      <w:r>
        <w:rPr>
          <w:rFonts w:ascii="IRBadr" w:hAnsi="IRBadr" w:cs="IRBadr" w:hint="cs"/>
          <w:color w:val="0000FF"/>
          <w:rtl/>
        </w:rPr>
        <w:t>«</w:t>
      </w:r>
      <w:r w:rsidR="009E4D0A" w:rsidRPr="00DA4EF5">
        <w:rPr>
          <w:rFonts w:ascii="IRBadr" w:hAnsi="IRBadr" w:cs="IRBadr" w:hint="cs"/>
          <w:color w:val="0000FF"/>
          <w:rtl/>
        </w:rPr>
        <w:t>احتجّ</w:t>
      </w:r>
      <w:r w:rsidR="009E4D0A" w:rsidRPr="00DA4EF5">
        <w:rPr>
          <w:rFonts w:ascii="IRBadr" w:hAnsi="IRBadr" w:cs="IRBadr"/>
          <w:color w:val="0000FF"/>
          <w:rtl/>
        </w:rPr>
        <w:t xml:space="preserve"> </w:t>
      </w:r>
      <w:r w:rsidR="009E4D0A" w:rsidRPr="00DA4EF5">
        <w:rPr>
          <w:rFonts w:ascii="IRBadr" w:hAnsi="IRBadr" w:cs="IRBadr" w:hint="cs"/>
          <w:color w:val="0000FF"/>
          <w:rtl/>
        </w:rPr>
        <w:t>الشافعيّ</w:t>
      </w:r>
      <w:r w:rsidR="009E4D0A" w:rsidRPr="00DA4EF5">
        <w:rPr>
          <w:rFonts w:ascii="IRBadr" w:hAnsi="IRBadr" w:cs="IRBadr"/>
          <w:color w:val="0000FF"/>
          <w:rtl/>
        </w:rPr>
        <w:t xml:space="preserve"> </w:t>
      </w:r>
      <w:r w:rsidR="009E4D0A" w:rsidRPr="00DA4EF5">
        <w:rPr>
          <w:rFonts w:ascii="IRBadr" w:hAnsi="IRBadr" w:cs="IRBadr" w:hint="cs"/>
          <w:color w:val="0000FF"/>
          <w:rtl/>
        </w:rPr>
        <w:t>بأنّها</w:t>
      </w:r>
      <w:r w:rsidR="009E4D0A" w:rsidRPr="00DA4EF5">
        <w:rPr>
          <w:rFonts w:ascii="IRBadr" w:hAnsi="IRBadr" w:cs="IRBadr"/>
          <w:color w:val="0000FF"/>
          <w:rtl/>
        </w:rPr>
        <w:t xml:space="preserve"> </w:t>
      </w:r>
      <w:r w:rsidR="009E4D0A" w:rsidRPr="00DA4EF5">
        <w:rPr>
          <w:rFonts w:ascii="IRBadr" w:hAnsi="IRBadr" w:cs="IRBadr" w:hint="cs"/>
          <w:color w:val="0000FF"/>
          <w:rtl/>
        </w:rPr>
        <w:t>لو</w:t>
      </w:r>
      <w:r w:rsidR="009E4D0A" w:rsidRPr="00DA4EF5">
        <w:rPr>
          <w:rFonts w:ascii="IRBadr" w:hAnsi="IRBadr" w:cs="IRBadr"/>
          <w:color w:val="0000FF"/>
          <w:rtl/>
        </w:rPr>
        <w:t xml:space="preserve"> </w:t>
      </w:r>
      <w:r w:rsidR="009E4D0A" w:rsidRPr="00DA4EF5">
        <w:rPr>
          <w:rFonts w:ascii="IRBadr" w:hAnsi="IRBadr" w:cs="IRBadr" w:hint="cs"/>
          <w:color w:val="0000FF"/>
          <w:rtl/>
        </w:rPr>
        <w:t>وجبت</w:t>
      </w:r>
      <w:r w:rsidR="009E4D0A" w:rsidRPr="00DA4EF5">
        <w:rPr>
          <w:rFonts w:ascii="IRBadr" w:hAnsi="IRBadr" w:cs="IRBadr"/>
          <w:color w:val="0000FF"/>
          <w:rtl/>
        </w:rPr>
        <w:t xml:space="preserve"> </w:t>
      </w:r>
      <w:r w:rsidR="009E4D0A" w:rsidRPr="00DA4EF5">
        <w:rPr>
          <w:rFonts w:ascii="IRBadr" w:hAnsi="IRBadr" w:cs="IRBadr" w:hint="cs"/>
          <w:color w:val="0000FF"/>
          <w:rtl/>
        </w:rPr>
        <w:t>في</w:t>
      </w:r>
      <w:r w:rsidR="009E4D0A" w:rsidRPr="00DA4EF5">
        <w:rPr>
          <w:rFonts w:ascii="IRBadr" w:hAnsi="IRBadr" w:cs="IRBadr"/>
          <w:color w:val="0000FF"/>
          <w:rtl/>
        </w:rPr>
        <w:t xml:space="preserve"> </w:t>
      </w:r>
      <w:r w:rsidR="009E4D0A" w:rsidRPr="00DA4EF5">
        <w:rPr>
          <w:rFonts w:ascii="IRBadr" w:hAnsi="IRBadr" w:cs="IRBadr" w:hint="cs"/>
          <w:color w:val="0000FF"/>
          <w:rtl/>
        </w:rPr>
        <w:t>العين</w:t>
      </w:r>
      <w:r w:rsidR="009E4D0A" w:rsidRPr="00DA4EF5">
        <w:rPr>
          <w:rFonts w:ascii="IRBadr" w:hAnsi="IRBadr" w:cs="IRBadr"/>
          <w:color w:val="0000FF"/>
          <w:rtl/>
        </w:rPr>
        <w:t xml:space="preserve"> </w:t>
      </w:r>
      <w:r w:rsidR="009E4D0A" w:rsidRPr="00DA4EF5">
        <w:rPr>
          <w:rFonts w:ascii="IRBadr" w:hAnsi="IRBadr" w:cs="IRBadr" w:hint="cs"/>
          <w:color w:val="0000FF"/>
          <w:rtl/>
        </w:rPr>
        <w:t>لوجب</w:t>
      </w:r>
      <w:r w:rsidR="009E4D0A" w:rsidRPr="00DA4EF5">
        <w:rPr>
          <w:rFonts w:ascii="IRBadr" w:hAnsi="IRBadr" w:cs="IRBadr"/>
          <w:color w:val="0000FF"/>
          <w:rtl/>
        </w:rPr>
        <w:t xml:space="preserve"> </w:t>
      </w:r>
      <w:r w:rsidR="009E4D0A" w:rsidRPr="00DA4EF5">
        <w:rPr>
          <w:rFonts w:ascii="IRBadr" w:hAnsi="IRBadr" w:cs="IRBadr" w:hint="cs"/>
          <w:color w:val="0000FF"/>
          <w:rtl/>
        </w:rPr>
        <w:t>الإخراج</w:t>
      </w:r>
      <w:r w:rsidR="009E4D0A" w:rsidRPr="00DA4EF5">
        <w:rPr>
          <w:rFonts w:ascii="IRBadr" w:hAnsi="IRBadr" w:cs="IRBadr"/>
          <w:color w:val="0000FF"/>
          <w:rtl/>
        </w:rPr>
        <w:t xml:space="preserve"> </w:t>
      </w:r>
      <w:r w:rsidR="009E4D0A" w:rsidRPr="00DA4EF5">
        <w:rPr>
          <w:rFonts w:ascii="IRBadr" w:hAnsi="IRBadr" w:cs="IRBadr" w:hint="cs"/>
          <w:color w:val="0000FF"/>
          <w:rtl/>
        </w:rPr>
        <w:t>منها،</w:t>
      </w:r>
      <w:r w:rsidR="009E4D0A" w:rsidRPr="00DA4EF5">
        <w:rPr>
          <w:rFonts w:ascii="IRBadr" w:hAnsi="IRBadr" w:cs="IRBadr"/>
          <w:color w:val="0000FF"/>
          <w:rtl/>
        </w:rPr>
        <w:t xml:space="preserve"> </w:t>
      </w:r>
      <w:r w:rsidR="009E4D0A" w:rsidRPr="00DA4EF5">
        <w:rPr>
          <w:rFonts w:ascii="IRBadr" w:hAnsi="IRBadr" w:cs="IRBadr" w:hint="cs"/>
          <w:color w:val="0000FF"/>
          <w:rtl/>
        </w:rPr>
        <w:t>و</w:t>
      </w:r>
      <w:r w:rsidR="009E4D0A" w:rsidRPr="00DA4EF5">
        <w:rPr>
          <w:rFonts w:ascii="IRBadr" w:hAnsi="IRBadr" w:cs="IRBadr"/>
          <w:color w:val="0000FF"/>
          <w:rtl/>
        </w:rPr>
        <w:t xml:space="preserve"> </w:t>
      </w:r>
      <w:r w:rsidR="009E4D0A" w:rsidRPr="00DA4EF5">
        <w:rPr>
          <w:rFonts w:ascii="IRBadr" w:hAnsi="IRBadr" w:cs="IRBadr" w:hint="cs"/>
          <w:color w:val="0000FF"/>
          <w:rtl/>
        </w:rPr>
        <w:t>لم</w:t>
      </w:r>
      <w:r>
        <w:rPr>
          <w:rFonts w:ascii="IRBadr" w:hAnsi="IRBadr" w:cs="IRBadr" w:hint="cs"/>
          <w:color w:val="0000FF"/>
          <w:rtl/>
        </w:rPr>
        <w:t>ُ</w:t>
      </w:r>
      <w:r w:rsidR="009E4D0A" w:rsidRPr="00DA4EF5">
        <w:rPr>
          <w:rFonts w:ascii="IRBadr" w:hAnsi="IRBadr" w:cs="IRBadr" w:hint="cs"/>
          <w:color w:val="0000FF"/>
          <w:rtl/>
        </w:rPr>
        <w:t>ن</w:t>
      </w:r>
      <w:r>
        <w:rPr>
          <w:rFonts w:ascii="IRBadr" w:hAnsi="IRBadr" w:cs="IRBadr" w:hint="cs"/>
          <w:color w:val="0000FF"/>
          <w:rtl/>
        </w:rPr>
        <w:t>ِ</w:t>
      </w:r>
      <w:r w:rsidR="009E4D0A" w:rsidRPr="00DA4EF5">
        <w:rPr>
          <w:rFonts w:ascii="IRBadr" w:hAnsi="IRBadr" w:cs="IRBadr" w:hint="cs"/>
          <w:color w:val="0000FF"/>
          <w:rtl/>
        </w:rPr>
        <w:t>ع</w:t>
      </w:r>
      <w:r w:rsidR="009E4D0A" w:rsidRPr="00DA4EF5">
        <w:rPr>
          <w:rFonts w:ascii="IRBadr" w:hAnsi="IRBadr" w:cs="IRBadr"/>
          <w:color w:val="0000FF"/>
          <w:rtl/>
        </w:rPr>
        <w:t xml:space="preserve"> </w:t>
      </w:r>
      <w:r w:rsidR="009E4D0A" w:rsidRPr="00DA4EF5">
        <w:rPr>
          <w:rFonts w:ascii="IRBadr" w:hAnsi="IRBadr" w:cs="IRBadr" w:hint="cs"/>
          <w:color w:val="0000FF"/>
          <w:rtl/>
        </w:rPr>
        <w:t>المالك</w:t>
      </w:r>
      <w:r w:rsidR="009E4D0A" w:rsidRPr="00DA4EF5">
        <w:rPr>
          <w:rFonts w:ascii="IRBadr" w:hAnsi="IRBadr" w:cs="IRBadr"/>
          <w:color w:val="0000FF"/>
          <w:rtl/>
        </w:rPr>
        <w:t xml:space="preserve"> </w:t>
      </w:r>
      <w:r w:rsidR="009E4D0A" w:rsidRPr="00DA4EF5">
        <w:rPr>
          <w:rFonts w:ascii="IRBadr" w:hAnsi="IRBadr" w:cs="IRBadr" w:hint="cs"/>
          <w:color w:val="0000FF"/>
          <w:rtl/>
        </w:rPr>
        <w:t>من</w:t>
      </w:r>
      <w:r w:rsidR="009E4D0A" w:rsidRPr="00DA4EF5">
        <w:rPr>
          <w:rFonts w:ascii="IRBadr" w:hAnsi="IRBadr" w:cs="IRBadr"/>
          <w:color w:val="0000FF"/>
          <w:rtl/>
        </w:rPr>
        <w:t xml:space="preserve"> </w:t>
      </w:r>
      <w:r w:rsidR="009E4D0A" w:rsidRPr="00DA4EF5">
        <w:rPr>
          <w:rFonts w:ascii="IRBadr" w:hAnsi="IRBadr" w:cs="IRBadr" w:hint="cs"/>
          <w:color w:val="0000FF"/>
          <w:rtl/>
        </w:rPr>
        <w:t>التصرّف</w:t>
      </w:r>
      <w:r w:rsidR="009E4D0A" w:rsidRPr="00DA4EF5">
        <w:rPr>
          <w:rFonts w:ascii="IRBadr" w:hAnsi="IRBadr" w:cs="IRBadr"/>
          <w:color w:val="0000FF"/>
          <w:rtl/>
        </w:rPr>
        <w:t xml:space="preserve"> </w:t>
      </w:r>
      <w:r w:rsidR="009E4D0A" w:rsidRPr="00DA4EF5">
        <w:rPr>
          <w:rFonts w:ascii="IRBadr" w:hAnsi="IRBadr" w:cs="IRBadr" w:hint="cs"/>
          <w:color w:val="0000FF"/>
          <w:rtl/>
        </w:rPr>
        <w:t>فيها،</w:t>
      </w:r>
      <w:r w:rsidR="009E4D0A" w:rsidRPr="00DA4EF5">
        <w:rPr>
          <w:rFonts w:ascii="IRBadr" w:hAnsi="IRBadr" w:cs="IRBadr"/>
          <w:color w:val="0000FF"/>
          <w:rtl/>
        </w:rPr>
        <w:t xml:space="preserve"> </w:t>
      </w:r>
      <w:r w:rsidR="009E4D0A" w:rsidRPr="00DA4EF5">
        <w:rPr>
          <w:rFonts w:ascii="IRBadr" w:hAnsi="IRBadr" w:cs="IRBadr" w:hint="cs"/>
          <w:color w:val="0000FF"/>
          <w:rtl/>
        </w:rPr>
        <w:t>و</w:t>
      </w:r>
      <w:r w:rsidR="009E4D0A" w:rsidRPr="00DA4EF5">
        <w:rPr>
          <w:rFonts w:ascii="IRBadr" w:hAnsi="IRBadr" w:cs="IRBadr"/>
          <w:color w:val="0000FF"/>
          <w:rtl/>
        </w:rPr>
        <w:t xml:space="preserve"> </w:t>
      </w:r>
      <w:r w:rsidR="009E4D0A" w:rsidRPr="00DA4EF5">
        <w:rPr>
          <w:rFonts w:ascii="IRBadr" w:hAnsi="IRBadr" w:cs="IRBadr" w:hint="cs"/>
          <w:color w:val="0000FF"/>
          <w:rtl/>
        </w:rPr>
        <w:t>لت</w:t>
      </w:r>
      <w:r>
        <w:rPr>
          <w:rFonts w:ascii="IRBadr" w:hAnsi="IRBadr" w:cs="IRBadr" w:hint="cs"/>
          <w:color w:val="0000FF"/>
          <w:rtl/>
        </w:rPr>
        <w:t>َ</w:t>
      </w:r>
      <w:r w:rsidR="009E4D0A" w:rsidRPr="00DA4EF5">
        <w:rPr>
          <w:rFonts w:ascii="IRBadr" w:hAnsi="IRBadr" w:cs="IRBadr" w:hint="cs"/>
          <w:color w:val="0000FF"/>
          <w:rtl/>
        </w:rPr>
        <w:t>س</w:t>
      </w:r>
      <w:r>
        <w:rPr>
          <w:rFonts w:ascii="IRBadr" w:hAnsi="IRBadr" w:cs="IRBadr" w:hint="cs"/>
          <w:color w:val="0000FF"/>
          <w:rtl/>
        </w:rPr>
        <w:t>َ</w:t>
      </w:r>
      <w:r w:rsidR="009E4D0A" w:rsidRPr="00DA4EF5">
        <w:rPr>
          <w:rFonts w:ascii="IRBadr" w:hAnsi="IRBadr" w:cs="IRBadr" w:hint="cs"/>
          <w:color w:val="0000FF"/>
          <w:rtl/>
        </w:rPr>
        <w:t>لّط</w:t>
      </w:r>
      <w:r w:rsidR="009E4D0A" w:rsidRPr="00DA4EF5">
        <w:rPr>
          <w:rFonts w:ascii="IRBadr" w:hAnsi="IRBadr" w:cs="IRBadr"/>
          <w:color w:val="0000FF"/>
          <w:rtl/>
        </w:rPr>
        <w:t xml:space="preserve"> </w:t>
      </w:r>
      <w:r w:rsidR="009E4D0A" w:rsidRPr="00DA4EF5">
        <w:rPr>
          <w:rFonts w:ascii="IRBadr" w:hAnsi="IRBadr" w:cs="IRBadr" w:hint="cs"/>
          <w:color w:val="0000FF"/>
          <w:rtl/>
        </w:rPr>
        <w:t>المستحقّ</w:t>
      </w:r>
      <w:r w:rsidR="009E4D0A" w:rsidRPr="00DA4EF5">
        <w:rPr>
          <w:rFonts w:ascii="IRBadr" w:hAnsi="IRBadr" w:cs="IRBadr"/>
          <w:color w:val="0000FF"/>
          <w:rtl/>
        </w:rPr>
        <w:t xml:space="preserve"> </w:t>
      </w:r>
      <w:r w:rsidR="009E4D0A" w:rsidRPr="00DA4EF5">
        <w:rPr>
          <w:rFonts w:ascii="IRBadr" w:hAnsi="IRBadr" w:cs="IRBadr" w:hint="cs"/>
          <w:color w:val="0000FF"/>
          <w:rtl/>
        </w:rPr>
        <w:t>على</w:t>
      </w:r>
      <w:r w:rsidR="009E4D0A" w:rsidRPr="00DA4EF5">
        <w:rPr>
          <w:rFonts w:ascii="IRBadr" w:hAnsi="IRBadr" w:cs="IRBadr"/>
          <w:color w:val="0000FF"/>
          <w:rtl/>
        </w:rPr>
        <w:t xml:space="preserve"> </w:t>
      </w:r>
      <w:r w:rsidR="009E4D0A" w:rsidRPr="00DA4EF5">
        <w:rPr>
          <w:rFonts w:ascii="IRBadr" w:hAnsi="IRBadr" w:cs="IRBadr" w:hint="cs"/>
          <w:color w:val="0000FF"/>
          <w:rtl/>
        </w:rPr>
        <w:t>إلزام</w:t>
      </w:r>
      <w:r w:rsidR="009E4D0A" w:rsidRPr="00DA4EF5">
        <w:rPr>
          <w:rFonts w:ascii="IRBadr" w:hAnsi="IRBadr" w:cs="IRBadr"/>
          <w:color w:val="0000FF"/>
          <w:rtl/>
        </w:rPr>
        <w:t xml:space="preserve"> </w:t>
      </w:r>
      <w:r w:rsidR="009E4D0A" w:rsidRPr="00DA4EF5">
        <w:rPr>
          <w:rFonts w:ascii="IRBadr" w:hAnsi="IRBadr" w:cs="IRBadr" w:hint="cs"/>
          <w:color w:val="0000FF"/>
          <w:rtl/>
        </w:rPr>
        <w:t>المالك</w:t>
      </w:r>
      <w:r w:rsidR="009E4D0A" w:rsidRPr="00DA4EF5">
        <w:rPr>
          <w:rFonts w:ascii="IRBadr" w:hAnsi="IRBadr" w:cs="IRBadr"/>
          <w:color w:val="0000FF"/>
          <w:rtl/>
        </w:rPr>
        <w:t xml:space="preserve"> </w:t>
      </w:r>
      <w:r w:rsidR="009E4D0A" w:rsidRPr="00DA4EF5">
        <w:rPr>
          <w:rFonts w:ascii="IRBadr" w:hAnsi="IRBadr" w:cs="IRBadr" w:hint="cs"/>
          <w:color w:val="0000FF"/>
          <w:rtl/>
        </w:rPr>
        <w:t>بالأداء</w:t>
      </w:r>
      <w:r w:rsidR="009E4D0A" w:rsidRPr="00DA4EF5">
        <w:rPr>
          <w:rFonts w:ascii="IRBadr" w:hAnsi="IRBadr" w:cs="IRBadr"/>
          <w:color w:val="0000FF"/>
          <w:rtl/>
        </w:rPr>
        <w:t xml:space="preserve"> </w:t>
      </w:r>
      <w:r w:rsidR="009E4D0A" w:rsidRPr="00DA4EF5">
        <w:rPr>
          <w:rFonts w:ascii="IRBadr" w:hAnsi="IRBadr" w:cs="IRBadr" w:hint="cs"/>
          <w:color w:val="0000FF"/>
          <w:rtl/>
        </w:rPr>
        <w:t>من</w:t>
      </w:r>
      <w:r w:rsidR="009E4D0A" w:rsidRPr="00DA4EF5">
        <w:rPr>
          <w:rFonts w:ascii="IRBadr" w:hAnsi="IRBadr" w:cs="IRBadr"/>
          <w:color w:val="0000FF"/>
          <w:rtl/>
        </w:rPr>
        <w:t xml:space="preserve"> </w:t>
      </w:r>
      <w:r w:rsidR="009E4D0A" w:rsidRPr="00DA4EF5">
        <w:rPr>
          <w:rFonts w:ascii="IRBadr" w:hAnsi="IRBadr" w:cs="IRBadr" w:hint="cs"/>
          <w:color w:val="0000FF"/>
          <w:rtl/>
        </w:rPr>
        <w:t>العين،</w:t>
      </w:r>
      <w:r w:rsidR="009E4D0A" w:rsidRPr="00DA4EF5">
        <w:rPr>
          <w:rFonts w:ascii="IRBadr" w:hAnsi="IRBadr" w:cs="IRBadr"/>
          <w:color w:val="0000FF"/>
          <w:rtl/>
        </w:rPr>
        <w:t xml:space="preserve"> </w:t>
      </w:r>
      <w:r w:rsidR="009E4D0A" w:rsidRPr="00DA4EF5">
        <w:rPr>
          <w:rFonts w:ascii="IRBadr" w:hAnsi="IRBadr" w:cs="IRBadr" w:hint="cs"/>
          <w:color w:val="0000FF"/>
          <w:rtl/>
        </w:rPr>
        <w:t>و</w:t>
      </w:r>
      <w:r w:rsidR="009E4D0A" w:rsidRPr="00DA4EF5">
        <w:rPr>
          <w:rFonts w:ascii="IRBadr" w:hAnsi="IRBadr" w:cs="IRBadr"/>
          <w:color w:val="0000FF"/>
          <w:rtl/>
        </w:rPr>
        <w:t xml:space="preserve"> </w:t>
      </w:r>
      <w:r w:rsidR="009E4D0A" w:rsidRPr="00DA4EF5">
        <w:rPr>
          <w:rFonts w:ascii="IRBadr" w:hAnsi="IRBadr" w:cs="IRBadr" w:hint="cs"/>
          <w:color w:val="0000FF"/>
          <w:rtl/>
        </w:rPr>
        <w:t>ل</w:t>
      </w:r>
      <w:r>
        <w:rPr>
          <w:rFonts w:ascii="IRBadr" w:hAnsi="IRBadr" w:cs="IRBadr" w:hint="cs"/>
          <w:color w:val="0000FF"/>
          <w:rtl/>
        </w:rPr>
        <w:t>َ</w:t>
      </w:r>
      <w:r w:rsidR="009E4D0A" w:rsidRPr="00DA4EF5">
        <w:rPr>
          <w:rFonts w:ascii="IRBadr" w:hAnsi="IRBadr" w:cs="IRBadr" w:hint="cs"/>
          <w:color w:val="0000FF"/>
          <w:rtl/>
        </w:rPr>
        <w:t>س</w:t>
      </w:r>
      <w:r>
        <w:rPr>
          <w:rFonts w:ascii="IRBadr" w:hAnsi="IRBadr" w:cs="IRBadr" w:hint="cs"/>
          <w:color w:val="0000FF"/>
          <w:rtl/>
        </w:rPr>
        <w:t>َ</w:t>
      </w:r>
      <w:r w:rsidR="009E4D0A" w:rsidRPr="00DA4EF5">
        <w:rPr>
          <w:rFonts w:ascii="IRBadr" w:hAnsi="IRBadr" w:cs="IRBadr" w:hint="cs"/>
          <w:color w:val="0000FF"/>
          <w:rtl/>
        </w:rPr>
        <w:t>ق</w:t>
      </w:r>
      <w:r>
        <w:rPr>
          <w:rFonts w:ascii="IRBadr" w:hAnsi="IRBadr" w:cs="IRBadr" w:hint="cs"/>
          <w:color w:val="0000FF"/>
          <w:rtl/>
        </w:rPr>
        <w:t>َ</w:t>
      </w:r>
      <w:r w:rsidR="009E4D0A" w:rsidRPr="00DA4EF5">
        <w:rPr>
          <w:rFonts w:ascii="IRBadr" w:hAnsi="IRBadr" w:cs="IRBadr" w:hint="cs"/>
          <w:color w:val="0000FF"/>
          <w:rtl/>
        </w:rPr>
        <w:t>طت</w:t>
      </w:r>
      <w:r w:rsidR="009E4D0A" w:rsidRPr="00DA4EF5">
        <w:rPr>
          <w:rFonts w:ascii="IRBadr" w:hAnsi="IRBadr" w:cs="IRBadr"/>
          <w:color w:val="0000FF"/>
          <w:rtl/>
        </w:rPr>
        <w:t xml:space="preserve"> </w:t>
      </w:r>
      <w:r w:rsidR="009E4D0A" w:rsidRPr="00DA4EF5">
        <w:rPr>
          <w:rFonts w:ascii="IRBadr" w:hAnsi="IRBadr" w:cs="IRBadr" w:hint="cs"/>
          <w:color w:val="0000FF"/>
          <w:rtl/>
        </w:rPr>
        <w:t>الزكاة</w:t>
      </w:r>
      <w:r w:rsidR="009E4D0A" w:rsidRPr="00DA4EF5">
        <w:rPr>
          <w:rFonts w:ascii="IRBadr" w:hAnsi="IRBadr" w:cs="IRBadr"/>
          <w:color w:val="0000FF"/>
          <w:rtl/>
        </w:rPr>
        <w:t xml:space="preserve"> </w:t>
      </w:r>
      <w:r w:rsidR="009E4D0A" w:rsidRPr="00DA4EF5">
        <w:rPr>
          <w:rFonts w:ascii="IRBadr" w:hAnsi="IRBadr" w:cs="IRBadr" w:hint="cs"/>
          <w:color w:val="0000FF"/>
          <w:rtl/>
        </w:rPr>
        <w:t>بتلف</w:t>
      </w:r>
      <w:r w:rsidR="009E4D0A" w:rsidRPr="00DA4EF5">
        <w:rPr>
          <w:rFonts w:ascii="IRBadr" w:hAnsi="IRBadr" w:cs="IRBadr"/>
          <w:color w:val="0000FF"/>
          <w:rtl/>
        </w:rPr>
        <w:t xml:space="preserve"> </w:t>
      </w:r>
      <w:r w:rsidR="009E4D0A" w:rsidRPr="00DA4EF5">
        <w:rPr>
          <w:rFonts w:ascii="IRBadr" w:hAnsi="IRBadr" w:cs="IRBadr" w:hint="cs"/>
          <w:color w:val="0000FF"/>
          <w:rtl/>
        </w:rPr>
        <w:t>النصاب</w:t>
      </w:r>
      <w:r w:rsidR="009E4D0A" w:rsidRPr="00DA4EF5">
        <w:rPr>
          <w:rFonts w:ascii="IRBadr" w:hAnsi="IRBadr" w:cs="IRBadr"/>
          <w:color w:val="0000FF"/>
          <w:rtl/>
        </w:rPr>
        <w:t xml:space="preserve"> </w:t>
      </w:r>
      <w:r w:rsidR="009E4D0A" w:rsidRPr="00DA4EF5">
        <w:rPr>
          <w:rFonts w:ascii="IRBadr" w:hAnsi="IRBadr" w:cs="IRBadr" w:hint="cs"/>
          <w:color w:val="0000FF"/>
          <w:rtl/>
        </w:rPr>
        <w:t>من</w:t>
      </w:r>
      <w:r w:rsidR="009E4D0A" w:rsidRPr="00DA4EF5">
        <w:rPr>
          <w:rFonts w:ascii="IRBadr" w:hAnsi="IRBadr" w:cs="IRBadr"/>
          <w:color w:val="0000FF"/>
          <w:rtl/>
        </w:rPr>
        <w:t xml:space="preserve"> </w:t>
      </w:r>
      <w:r w:rsidR="009E4D0A" w:rsidRPr="00DA4EF5">
        <w:rPr>
          <w:rFonts w:ascii="IRBadr" w:hAnsi="IRBadr" w:cs="IRBadr" w:hint="cs"/>
          <w:color w:val="0000FF"/>
          <w:rtl/>
        </w:rPr>
        <w:t>غير</w:t>
      </w:r>
      <w:r w:rsidR="009E4D0A" w:rsidRPr="00DA4EF5">
        <w:rPr>
          <w:rFonts w:ascii="IRBadr" w:hAnsi="IRBadr" w:cs="IRBadr"/>
          <w:color w:val="0000FF"/>
          <w:rtl/>
        </w:rPr>
        <w:t xml:space="preserve"> </w:t>
      </w:r>
      <w:r w:rsidR="009E4D0A" w:rsidRPr="00DA4EF5">
        <w:rPr>
          <w:rFonts w:ascii="IRBadr" w:hAnsi="IRBadr" w:cs="IRBadr" w:hint="cs"/>
          <w:color w:val="0000FF"/>
          <w:rtl/>
        </w:rPr>
        <w:t>تفريط،</w:t>
      </w:r>
      <w:r w:rsidR="009E4D0A" w:rsidRPr="00DA4EF5">
        <w:rPr>
          <w:rFonts w:ascii="IRBadr" w:hAnsi="IRBadr" w:cs="IRBadr"/>
          <w:color w:val="0000FF"/>
          <w:rtl/>
        </w:rPr>
        <w:t xml:space="preserve"> </w:t>
      </w:r>
      <w:r w:rsidR="009E4D0A" w:rsidRPr="00DA4EF5">
        <w:rPr>
          <w:rFonts w:ascii="IRBadr" w:hAnsi="IRBadr" w:cs="IRBadr" w:hint="cs"/>
          <w:color w:val="0000FF"/>
          <w:rtl/>
        </w:rPr>
        <w:t>و</w:t>
      </w:r>
      <w:r w:rsidR="009E4D0A" w:rsidRPr="00DA4EF5">
        <w:rPr>
          <w:rFonts w:ascii="IRBadr" w:hAnsi="IRBadr" w:cs="IRBadr"/>
          <w:color w:val="0000FF"/>
          <w:rtl/>
        </w:rPr>
        <w:t xml:space="preserve"> </w:t>
      </w:r>
      <w:r w:rsidR="009E4D0A" w:rsidRPr="00DA4EF5">
        <w:rPr>
          <w:rFonts w:ascii="IRBadr" w:hAnsi="IRBadr" w:cs="IRBadr" w:hint="cs"/>
          <w:color w:val="0000FF"/>
          <w:rtl/>
        </w:rPr>
        <w:t>التوالي</w:t>
      </w:r>
      <w:r w:rsidR="009E4D0A" w:rsidRPr="00DA4EF5">
        <w:rPr>
          <w:rFonts w:ascii="IRBadr" w:hAnsi="IRBadr" w:cs="IRBadr"/>
          <w:color w:val="0000FF"/>
          <w:rtl/>
        </w:rPr>
        <w:t xml:space="preserve"> </w:t>
      </w:r>
      <w:r w:rsidR="009E4D0A" w:rsidRPr="00DA4EF5">
        <w:rPr>
          <w:rFonts w:ascii="IRBadr" w:hAnsi="IRBadr" w:cs="IRBadr" w:hint="cs"/>
          <w:color w:val="0000FF"/>
          <w:rtl/>
        </w:rPr>
        <w:t>باطلة</w:t>
      </w:r>
      <w:r w:rsidR="009E4D0A" w:rsidRPr="00DA4EF5">
        <w:rPr>
          <w:rFonts w:ascii="IRBadr" w:hAnsi="IRBadr" w:cs="IRBadr"/>
          <w:color w:val="0000FF"/>
          <w:rtl/>
        </w:rPr>
        <w:t xml:space="preserve"> </w:t>
      </w:r>
      <w:r w:rsidR="009E4D0A" w:rsidRPr="00DA4EF5">
        <w:rPr>
          <w:rFonts w:ascii="IRBadr" w:hAnsi="IRBadr" w:cs="IRBadr" w:hint="cs"/>
          <w:color w:val="0000FF"/>
          <w:rtl/>
        </w:rPr>
        <w:t>فالمقدّم</w:t>
      </w:r>
      <w:r w:rsidR="009E4D0A" w:rsidRPr="00DA4EF5">
        <w:rPr>
          <w:rFonts w:ascii="IRBadr" w:hAnsi="IRBadr" w:cs="IRBadr"/>
          <w:color w:val="0000FF"/>
          <w:rtl/>
        </w:rPr>
        <w:t xml:space="preserve"> </w:t>
      </w:r>
      <w:r w:rsidR="009E4D0A" w:rsidRPr="00DA4EF5">
        <w:rPr>
          <w:rFonts w:ascii="IRBadr" w:hAnsi="IRBadr" w:cs="IRBadr" w:hint="cs"/>
          <w:color w:val="0000FF"/>
          <w:rtl/>
        </w:rPr>
        <w:t>مثله،</w:t>
      </w:r>
      <w:r w:rsidR="009E4D0A" w:rsidRPr="00DA4EF5">
        <w:rPr>
          <w:rFonts w:ascii="IRBadr" w:hAnsi="IRBadr" w:cs="IRBadr"/>
          <w:color w:val="0000FF"/>
          <w:rtl/>
        </w:rPr>
        <w:t xml:space="preserve"> </w:t>
      </w:r>
      <w:r w:rsidR="009E4D0A" w:rsidRPr="00DA4EF5">
        <w:rPr>
          <w:rFonts w:ascii="IRBadr" w:hAnsi="IRBadr" w:cs="IRBadr" w:hint="cs"/>
          <w:color w:val="0000FF"/>
          <w:rtl/>
        </w:rPr>
        <w:t>و</w:t>
      </w:r>
      <w:r w:rsidR="009E4D0A" w:rsidRPr="00DA4EF5">
        <w:rPr>
          <w:rFonts w:ascii="IRBadr" w:hAnsi="IRBadr" w:cs="IRBadr"/>
          <w:color w:val="0000FF"/>
          <w:rtl/>
        </w:rPr>
        <w:t xml:space="preserve"> </w:t>
      </w:r>
      <w:r w:rsidR="009E4D0A" w:rsidRPr="00DA4EF5">
        <w:rPr>
          <w:rFonts w:ascii="IRBadr" w:hAnsi="IRBadr" w:cs="IRBadr" w:hint="cs"/>
          <w:color w:val="0000FF"/>
          <w:rtl/>
        </w:rPr>
        <w:t>لأنّها</w:t>
      </w:r>
      <w:r w:rsidR="009E4D0A" w:rsidRPr="00DA4EF5">
        <w:rPr>
          <w:rFonts w:ascii="IRBadr" w:hAnsi="IRBadr" w:cs="IRBadr"/>
          <w:color w:val="0000FF"/>
          <w:rtl/>
        </w:rPr>
        <w:t xml:space="preserve"> </w:t>
      </w:r>
      <w:r w:rsidR="009E4D0A" w:rsidRPr="00DA4EF5">
        <w:rPr>
          <w:rFonts w:ascii="IRBadr" w:hAnsi="IRBadr" w:cs="IRBadr" w:hint="cs"/>
          <w:color w:val="0000FF"/>
          <w:rtl/>
        </w:rPr>
        <w:t>زكاة</w:t>
      </w:r>
      <w:r w:rsidR="009E4D0A" w:rsidRPr="00DA4EF5">
        <w:rPr>
          <w:rFonts w:ascii="IRBadr" w:hAnsi="IRBadr" w:cs="IRBadr"/>
          <w:color w:val="0000FF"/>
          <w:rtl/>
        </w:rPr>
        <w:t xml:space="preserve"> </w:t>
      </w:r>
      <w:r w:rsidR="009E4D0A" w:rsidRPr="00DA4EF5">
        <w:rPr>
          <w:rFonts w:ascii="IRBadr" w:hAnsi="IRBadr" w:cs="IRBadr" w:hint="cs"/>
          <w:color w:val="0000FF"/>
          <w:rtl/>
        </w:rPr>
        <w:t>فتجب</w:t>
      </w:r>
      <w:r w:rsidR="009E4D0A" w:rsidRPr="00DA4EF5">
        <w:rPr>
          <w:rFonts w:ascii="IRBadr" w:hAnsi="IRBadr" w:cs="IRBadr"/>
          <w:color w:val="0000FF"/>
          <w:rtl/>
        </w:rPr>
        <w:t xml:space="preserve"> </w:t>
      </w:r>
      <w:r w:rsidR="009E4D0A" w:rsidRPr="00DA4EF5">
        <w:rPr>
          <w:rFonts w:ascii="IRBadr" w:hAnsi="IRBadr" w:cs="IRBadr" w:hint="cs"/>
          <w:color w:val="0000FF"/>
          <w:rtl/>
        </w:rPr>
        <w:t>في</w:t>
      </w:r>
      <w:r w:rsidR="009E4D0A" w:rsidRPr="00DA4EF5">
        <w:rPr>
          <w:rFonts w:ascii="IRBadr" w:hAnsi="IRBadr" w:cs="IRBadr"/>
          <w:color w:val="0000FF"/>
          <w:rtl/>
        </w:rPr>
        <w:t xml:space="preserve"> </w:t>
      </w:r>
      <w:r w:rsidR="009E4D0A" w:rsidRPr="00DA4EF5">
        <w:rPr>
          <w:rFonts w:ascii="IRBadr" w:hAnsi="IRBadr" w:cs="IRBadr" w:hint="cs"/>
          <w:color w:val="0000FF"/>
          <w:rtl/>
        </w:rPr>
        <w:t>الذمّة</w:t>
      </w:r>
      <w:r w:rsidR="009E4D0A" w:rsidRPr="00DA4EF5">
        <w:rPr>
          <w:rFonts w:ascii="IRBadr" w:hAnsi="IRBadr" w:cs="IRBadr"/>
          <w:color w:val="0000FF"/>
          <w:rtl/>
        </w:rPr>
        <w:t xml:space="preserve"> </w:t>
      </w:r>
      <w:r w:rsidR="009E4D0A" w:rsidRPr="00DA4EF5">
        <w:rPr>
          <w:rFonts w:ascii="IRBadr" w:hAnsi="IRBadr" w:cs="IRBadr" w:hint="cs"/>
          <w:color w:val="0000FF"/>
          <w:rtl/>
        </w:rPr>
        <w:t>كالفطرة</w:t>
      </w:r>
      <w:r>
        <w:rPr>
          <w:rFonts w:ascii="IRBadr" w:hAnsi="IRBadr" w:cs="IRBadr" w:hint="cs"/>
          <w:color w:val="0000FF"/>
          <w:rtl/>
        </w:rPr>
        <w:t>»</w:t>
      </w:r>
      <w:r>
        <w:rPr>
          <w:rStyle w:val="FootnoteReference"/>
          <w:rFonts w:ascii="IRBadr" w:hAnsi="IRBadr" w:cs="IRBadr"/>
          <w:color w:val="0000FF"/>
          <w:rtl/>
        </w:rPr>
        <w:footnoteReference w:id="11"/>
      </w:r>
      <w:r w:rsidR="009E4D0A" w:rsidRPr="009E4D0A">
        <w:rPr>
          <w:rFonts w:ascii="IRBadr" w:hAnsi="IRBadr" w:cs="IRBadr"/>
          <w:rtl/>
        </w:rPr>
        <w:t>.</w:t>
      </w:r>
    </w:p>
    <w:p w:rsidR="00DA4EF5" w:rsidRDefault="00DA4EF5" w:rsidP="009E4D0A">
      <w:pPr>
        <w:rPr>
          <w:rFonts w:ascii="IRBadr" w:hAnsi="IRBadr" w:cs="IRBadr"/>
          <w:rtl/>
        </w:rPr>
      </w:pPr>
      <w:r>
        <w:rPr>
          <w:rFonts w:ascii="IRBadr" w:hAnsi="IRBadr" w:cs="IRBadr" w:hint="cs"/>
          <w:rtl/>
        </w:rPr>
        <w:t>استدلال شافعی نظیر کلام صاحب مدارک به نحو قیاس استثنائی است. توجه شود که این استدلال شافعی هم مبتنی بر دوران امر بین تخصیص و تخصّص است یا آنکه چنین نیست. در جلسه آینده در این رابطه بحث خواهیم نمود.</w:t>
      </w:r>
    </w:p>
    <w:p w:rsidR="00283EDE" w:rsidRDefault="00283EDE" w:rsidP="009E4D0A">
      <w:pPr>
        <w:rPr>
          <w:rFonts w:ascii="IRBadr" w:hAnsi="IRBadr" w:cs="IRBadr"/>
          <w:rtl/>
        </w:rPr>
      </w:pPr>
      <w:r w:rsidRPr="00283EDE">
        <w:rPr>
          <w:rFonts w:ascii="IRBadr" w:hAnsi="IRBadr" w:cs="IRBadr" w:hint="cs"/>
          <w:b/>
          <w:bCs/>
          <w:rtl/>
        </w:rPr>
        <w:t>و صلّی اللّه علی سیّدنا و نبیّنا محمّد و آل محمّد</w:t>
      </w:r>
      <w:r>
        <w:rPr>
          <w:rFonts w:ascii="IRBadr" w:hAnsi="IRBadr" w:cs="IRBadr" w:hint="cs"/>
          <w:rtl/>
        </w:rPr>
        <w:t>.</w:t>
      </w:r>
    </w:p>
    <w:p w:rsidR="00A12C84" w:rsidRDefault="00A12C84" w:rsidP="00A12C84">
      <w:pPr>
        <w:rPr>
          <w:rFonts w:ascii="IRBadr" w:hAnsi="IRBadr" w:cs="IRBadr"/>
          <w:rtl/>
        </w:rPr>
      </w:pPr>
    </w:p>
    <w:sectPr w:rsidR="00A12C84"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986" w:rsidRDefault="005B5986" w:rsidP="008B750B">
      <w:pPr>
        <w:spacing w:line="240" w:lineRule="auto"/>
      </w:pPr>
      <w:r>
        <w:separator/>
      </w:r>
    </w:p>
    <w:p w:rsidR="005B5986" w:rsidRDefault="005B5986"/>
  </w:endnote>
  <w:endnote w:type="continuationSeparator" w:id="0">
    <w:p w:rsidR="005B5986" w:rsidRDefault="005B5986" w:rsidP="008B750B">
      <w:pPr>
        <w:spacing w:line="240" w:lineRule="auto"/>
      </w:pPr>
      <w:r>
        <w:continuationSeparator/>
      </w:r>
    </w:p>
    <w:p w:rsidR="005B5986" w:rsidRDefault="005B5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84" w:rsidRDefault="00A12C84">
    <w:pPr>
      <w:pStyle w:val="Footer"/>
    </w:pPr>
  </w:p>
  <w:p w:rsidR="00A12C84" w:rsidRDefault="00A12C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12C84" w:rsidRPr="006D44C1" w:rsidTr="0020241A">
      <w:tc>
        <w:tcPr>
          <w:tcW w:w="3382" w:type="dxa"/>
          <w:tcBorders>
            <w:top w:val="nil"/>
            <w:left w:val="nil"/>
            <w:bottom w:val="nil"/>
            <w:right w:val="nil"/>
          </w:tcBorders>
        </w:tcPr>
        <w:p w:rsidR="00A12C84" w:rsidRDefault="00A12C84"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A12C84" w:rsidRDefault="00A12C84" w:rsidP="006D44C1">
          <w:pPr>
            <w:pStyle w:val="Footer"/>
            <w:jc w:val="right"/>
            <w:rPr>
              <w:rtl/>
            </w:rPr>
          </w:pPr>
          <w:r>
            <w:rPr>
              <w:rFonts w:hint="cs"/>
              <w:rtl/>
            </w:rPr>
            <w:t xml:space="preserve">صفحه </w:t>
          </w:r>
          <w:r>
            <w:fldChar w:fldCharType="begin"/>
          </w:r>
          <w:r>
            <w:instrText>PAGE   \* MERGEFORMAT</w:instrText>
          </w:r>
          <w:r>
            <w:fldChar w:fldCharType="separate"/>
          </w:r>
          <w:r w:rsidR="00275A42" w:rsidRPr="00275A42">
            <w:rPr>
              <w:noProof/>
              <w:rtl/>
              <w:lang w:val="fa-IR"/>
            </w:rPr>
            <w:t>1</w:t>
          </w:r>
          <w:r>
            <w:rPr>
              <w:noProof/>
            </w:rPr>
            <w:fldChar w:fldCharType="end"/>
          </w:r>
        </w:p>
      </w:tc>
      <w:tc>
        <w:tcPr>
          <w:tcW w:w="4786" w:type="dxa"/>
          <w:tcBorders>
            <w:top w:val="nil"/>
            <w:left w:val="nil"/>
            <w:bottom w:val="nil"/>
            <w:right w:val="nil"/>
          </w:tcBorders>
          <w:vAlign w:val="center"/>
        </w:tcPr>
        <w:p w:rsidR="00A12C84" w:rsidRPr="006D44C1" w:rsidRDefault="00A12C84" w:rsidP="001B6799">
          <w:pPr>
            <w:pStyle w:val="Footer"/>
            <w:bidi w:val="0"/>
            <w:rPr>
              <w:color w:val="808080" w:themeColor="background1" w:themeShade="80"/>
              <w:rtl/>
            </w:rPr>
          </w:pPr>
          <w:bookmarkStart w:id="45" w:name="BokAdres"/>
          <w:bookmarkEnd w:id="45"/>
          <w:r>
            <w:rPr>
              <w:color w:val="808080" w:themeColor="background1" w:themeShade="80"/>
            </w:rPr>
            <w:t>F1js1_14021023-065_ah1_mfeb.ir</w:t>
          </w:r>
        </w:p>
      </w:tc>
    </w:tr>
  </w:tbl>
  <w:p w:rsidR="00A12C84" w:rsidRDefault="00A12C84" w:rsidP="00FA5F3D">
    <w:pPr>
      <w:pStyle w:val="Footer"/>
      <w:jc w:val="center"/>
    </w:pPr>
  </w:p>
  <w:p w:rsidR="00A12C84" w:rsidRDefault="00A12C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986" w:rsidRDefault="005B5986" w:rsidP="008B750B">
      <w:pPr>
        <w:spacing w:line="240" w:lineRule="auto"/>
      </w:pPr>
      <w:r>
        <w:separator/>
      </w:r>
    </w:p>
    <w:p w:rsidR="005B5986" w:rsidRDefault="005B5986"/>
  </w:footnote>
  <w:footnote w:type="continuationSeparator" w:id="0">
    <w:p w:rsidR="005B5986" w:rsidRDefault="005B5986" w:rsidP="008B750B">
      <w:pPr>
        <w:spacing w:line="240" w:lineRule="auto"/>
      </w:pPr>
      <w:r>
        <w:continuationSeparator/>
      </w:r>
    </w:p>
    <w:p w:rsidR="005B5986" w:rsidRDefault="005B5986"/>
  </w:footnote>
  <w:footnote w:id="1">
    <w:p w:rsidR="00A12C84" w:rsidRDefault="00A12C84" w:rsidP="00307CCA">
      <w:pPr>
        <w:pStyle w:val="FootnoteText"/>
      </w:pPr>
      <w:r>
        <w:rPr>
          <w:rStyle w:val="FootnoteReference"/>
        </w:rPr>
        <w:footnoteRef/>
      </w:r>
      <w:r>
        <w:rPr>
          <w:rtl/>
        </w:rPr>
        <w:t xml:space="preserve"> </w:t>
      </w:r>
      <w:r>
        <w:rPr>
          <w:rFonts w:hint="cs"/>
          <w:rtl/>
        </w:rPr>
        <w:t>کتاب الخمس، آیت الله شبیری، ج۳، ص۲۳۳.</w:t>
      </w:r>
    </w:p>
  </w:footnote>
  <w:footnote w:id="2">
    <w:p w:rsidR="00A12C84" w:rsidRDefault="00A12C84">
      <w:pPr>
        <w:pStyle w:val="FootnoteText"/>
      </w:pPr>
      <w:r>
        <w:rPr>
          <w:rStyle w:val="FootnoteReference"/>
        </w:rPr>
        <w:footnoteRef/>
      </w:r>
      <w:r>
        <w:rPr>
          <w:rtl/>
        </w:rPr>
        <w:t xml:space="preserve"> </w:t>
      </w:r>
      <w:r>
        <w:rPr>
          <w:rFonts w:hint="cs"/>
          <w:rtl/>
        </w:rPr>
        <w:t>نفس المصدر</w:t>
      </w:r>
    </w:p>
  </w:footnote>
  <w:footnote w:id="3">
    <w:p w:rsidR="00A12C84" w:rsidRPr="00307CCA" w:rsidRDefault="00A12C84" w:rsidP="00307CCA">
      <w:pPr>
        <w:pStyle w:val="FootnoteText"/>
      </w:pPr>
      <w:r w:rsidRPr="00307CCA">
        <w:footnoteRef/>
      </w:r>
      <w:r w:rsidRPr="00307CCA">
        <w:rPr>
          <w:rtl/>
        </w:rPr>
        <w:t xml:space="preserve"> </w:t>
      </w:r>
      <w:hyperlink r:id="rId1" w:history="1">
        <w:r w:rsidRPr="00307CCA">
          <w:rPr>
            <w:rStyle w:val="Hyperlink"/>
            <w:rFonts w:hint="cs"/>
            <w:rtl/>
          </w:rPr>
          <w:t>شرائع</w:t>
        </w:r>
        <w:r w:rsidRPr="00307CCA">
          <w:rPr>
            <w:rStyle w:val="Hyperlink"/>
            <w:rtl/>
          </w:rPr>
          <w:t xml:space="preserve"> </w:t>
        </w:r>
        <w:r w:rsidRPr="00307CCA">
          <w:rPr>
            <w:rStyle w:val="Hyperlink"/>
            <w:rFonts w:hint="cs"/>
            <w:rtl/>
          </w:rPr>
          <w:t>الإسلام،</w:t>
        </w:r>
        <w:r w:rsidRPr="00307CCA">
          <w:rPr>
            <w:rStyle w:val="Hyperlink"/>
            <w:rtl/>
          </w:rPr>
          <w:t xml:space="preserve"> </w:t>
        </w:r>
        <w:r w:rsidRPr="00307CCA">
          <w:rPr>
            <w:rStyle w:val="Hyperlink"/>
            <w:rFonts w:hint="cs"/>
            <w:rtl/>
          </w:rPr>
          <w:t>جعفر</w:t>
        </w:r>
        <w:r w:rsidRPr="00307CCA">
          <w:rPr>
            <w:rStyle w:val="Hyperlink"/>
            <w:rtl/>
          </w:rPr>
          <w:t xml:space="preserve"> </w:t>
        </w:r>
        <w:r w:rsidRPr="00307CCA">
          <w:rPr>
            <w:rStyle w:val="Hyperlink"/>
            <w:rFonts w:hint="cs"/>
            <w:rtl/>
          </w:rPr>
          <w:t>بن</w:t>
        </w:r>
        <w:r w:rsidRPr="00307CCA">
          <w:rPr>
            <w:rStyle w:val="Hyperlink"/>
            <w:rtl/>
          </w:rPr>
          <w:t xml:space="preserve"> </w:t>
        </w:r>
        <w:r w:rsidRPr="00307CCA">
          <w:rPr>
            <w:rStyle w:val="Hyperlink"/>
            <w:rFonts w:hint="cs"/>
            <w:rtl/>
          </w:rPr>
          <w:t>الحسن</w:t>
        </w:r>
        <w:r w:rsidRPr="00307CCA">
          <w:rPr>
            <w:rStyle w:val="Hyperlink"/>
            <w:rtl/>
          </w:rPr>
          <w:t xml:space="preserve"> </w:t>
        </w:r>
        <w:r w:rsidRPr="00307CCA">
          <w:rPr>
            <w:rStyle w:val="Hyperlink"/>
            <w:rFonts w:hint="cs"/>
            <w:rtl/>
          </w:rPr>
          <w:t>بن</w:t>
        </w:r>
        <w:r w:rsidRPr="00307CCA">
          <w:rPr>
            <w:rStyle w:val="Hyperlink"/>
            <w:rtl/>
          </w:rPr>
          <w:t xml:space="preserve"> </w:t>
        </w:r>
        <w:r w:rsidRPr="00307CCA">
          <w:rPr>
            <w:rStyle w:val="Hyperlink"/>
            <w:rFonts w:hint="cs"/>
            <w:rtl/>
          </w:rPr>
          <w:t>یحیی</w:t>
        </w:r>
        <w:r w:rsidRPr="00307CCA">
          <w:rPr>
            <w:rStyle w:val="Hyperlink"/>
            <w:rtl/>
          </w:rPr>
          <w:t xml:space="preserve"> (</w:t>
        </w:r>
        <w:r w:rsidRPr="00307CCA">
          <w:rPr>
            <w:rStyle w:val="Hyperlink"/>
            <w:rFonts w:hint="cs"/>
            <w:rtl/>
          </w:rPr>
          <w:t>المحقق</w:t>
        </w:r>
        <w:r w:rsidRPr="00307CCA">
          <w:rPr>
            <w:rStyle w:val="Hyperlink"/>
            <w:rtl/>
          </w:rPr>
          <w:t xml:space="preserve"> </w:t>
        </w:r>
        <w:r w:rsidRPr="00307CCA">
          <w:rPr>
            <w:rStyle w:val="Hyperlink"/>
            <w:rFonts w:hint="cs"/>
            <w:rtl/>
          </w:rPr>
          <w:t>الحلّی</w:t>
        </w:r>
        <w:r w:rsidRPr="00307CCA">
          <w:rPr>
            <w:rStyle w:val="Hyperlink"/>
            <w:rtl/>
          </w:rPr>
          <w:t>)</w:t>
        </w:r>
        <w:r w:rsidRPr="00307CCA">
          <w:rPr>
            <w:rStyle w:val="Hyperlink"/>
            <w:rFonts w:hint="cs"/>
            <w:rtl/>
          </w:rPr>
          <w:t>،</w:t>
        </w:r>
        <w:r w:rsidRPr="00307CCA">
          <w:rPr>
            <w:rStyle w:val="Hyperlink"/>
            <w:rtl/>
          </w:rPr>
          <w:t xml:space="preserve"> </w:t>
        </w:r>
        <w:r w:rsidRPr="00307CCA">
          <w:rPr>
            <w:rStyle w:val="Hyperlink"/>
            <w:rFonts w:hint="cs"/>
            <w:rtl/>
          </w:rPr>
          <w:t>ج</w:t>
        </w:r>
        <w:r w:rsidRPr="00307CCA">
          <w:rPr>
            <w:rStyle w:val="Hyperlink"/>
            <w:rtl/>
          </w:rPr>
          <w:t>1</w:t>
        </w:r>
        <w:r w:rsidRPr="00307CCA">
          <w:rPr>
            <w:rStyle w:val="Hyperlink"/>
            <w:rFonts w:hint="cs"/>
            <w:rtl/>
          </w:rPr>
          <w:t>،</w:t>
        </w:r>
        <w:r w:rsidRPr="00307CCA">
          <w:rPr>
            <w:rStyle w:val="Hyperlink"/>
            <w:rtl/>
          </w:rPr>
          <w:t xml:space="preserve"> </w:t>
        </w:r>
        <w:r w:rsidRPr="00307CCA">
          <w:rPr>
            <w:rStyle w:val="Hyperlink"/>
            <w:rFonts w:hint="cs"/>
            <w:rtl/>
          </w:rPr>
          <w:t>ص</w:t>
        </w:r>
        <w:r w:rsidRPr="00307CCA">
          <w:rPr>
            <w:rStyle w:val="Hyperlink"/>
            <w:rtl/>
          </w:rPr>
          <w:t>143.</w:t>
        </w:r>
      </w:hyperlink>
    </w:p>
  </w:footnote>
  <w:footnote w:id="4">
    <w:p w:rsidR="00A12C84" w:rsidRPr="00AC6759" w:rsidRDefault="00A12C84" w:rsidP="00AC6759">
      <w:pPr>
        <w:pStyle w:val="FootnoteText"/>
      </w:pPr>
      <w:r w:rsidRPr="00AC6759">
        <w:footnoteRef/>
      </w:r>
      <w:r w:rsidRPr="00AC6759">
        <w:rPr>
          <w:rtl/>
        </w:rPr>
        <w:t xml:space="preserve"> </w:t>
      </w:r>
      <w:hyperlink r:id="rId2" w:history="1">
        <w:r w:rsidRPr="00AC6759">
          <w:rPr>
            <w:rStyle w:val="Hyperlink"/>
            <w:rFonts w:hint="cs"/>
            <w:rtl/>
          </w:rPr>
          <w:t>المبسوط</w:t>
        </w:r>
        <w:r w:rsidRPr="00AC6759">
          <w:rPr>
            <w:rStyle w:val="Hyperlink"/>
            <w:rtl/>
          </w:rPr>
          <w:t xml:space="preserve"> </w:t>
        </w:r>
        <w:r w:rsidRPr="00AC6759">
          <w:rPr>
            <w:rStyle w:val="Hyperlink"/>
            <w:rFonts w:hint="cs"/>
            <w:rtl/>
          </w:rPr>
          <w:t>فی</w:t>
        </w:r>
        <w:r w:rsidRPr="00AC6759">
          <w:rPr>
            <w:rStyle w:val="Hyperlink"/>
            <w:rtl/>
          </w:rPr>
          <w:t xml:space="preserve"> </w:t>
        </w:r>
        <w:r w:rsidRPr="00AC6759">
          <w:rPr>
            <w:rStyle w:val="Hyperlink"/>
            <w:rFonts w:hint="cs"/>
            <w:rtl/>
          </w:rPr>
          <w:t>فقه</w:t>
        </w:r>
        <w:r w:rsidRPr="00AC6759">
          <w:rPr>
            <w:rStyle w:val="Hyperlink"/>
            <w:rtl/>
          </w:rPr>
          <w:t xml:space="preserve"> </w:t>
        </w:r>
        <w:r w:rsidRPr="00AC6759">
          <w:rPr>
            <w:rStyle w:val="Hyperlink"/>
            <w:rFonts w:hint="cs"/>
            <w:rtl/>
          </w:rPr>
          <w:t>الإمامیة،</w:t>
        </w:r>
        <w:r w:rsidRPr="00AC6759">
          <w:rPr>
            <w:rStyle w:val="Hyperlink"/>
            <w:rtl/>
          </w:rPr>
          <w:t xml:space="preserve"> </w:t>
        </w:r>
        <w:r w:rsidRPr="00AC6759">
          <w:rPr>
            <w:rStyle w:val="Hyperlink"/>
            <w:rFonts w:hint="cs"/>
            <w:rtl/>
          </w:rPr>
          <w:t>شیخ</w:t>
        </w:r>
        <w:r w:rsidRPr="00AC6759">
          <w:rPr>
            <w:rStyle w:val="Hyperlink"/>
            <w:rtl/>
          </w:rPr>
          <w:t xml:space="preserve"> </w:t>
        </w:r>
        <w:r w:rsidRPr="00AC6759">
          <w:rPr>
            <w:rStyle w:val="Hyperlink"/>
            <w:rFonts w:hint="cs"/>
            <w:rtl/>
          </w:rPr>
          <w:t>طوسی،</w:t>
        </w:r>
        <w:r w:rsidRPr="00AC6759">
          <w:rPr>
            <w:rStyle w:val="Hyperlink"/>
            <w:rtl/>
          </w:rPr>
          <w:t xml:space="preserve"> </w:t>
        </w:r>
        <w:r w:rsidRPr="00AC6759">
          <w:rPr>
            <w:rStyle w:val="Hyperlink"/>
            <w:rFonts w:hint="cs"/>
            <w:rtl/>
          </w:rPr>
          <w:t>ج</w:t>
        </w:r>
        <w:r w:rsidRPr="00AC6759">
          <w:rPr>
            <w:rStyle w:val="Hyperlink"/>
            <w:rtl/>
          </w:rPr>
          <w:t>1</w:t>
        </w:r>
        <w:r w:rsidRPr="00AC6759">
          <w:rPr>
            <w:rStyle w:val="Hyperlink"/>
            <w:rFonts w:hint="cs"/>
            <w:rtl/>
          </w:rPr>
          <w:t>،</w:t>
        </w:r>
        <w:r w:rsidRPr="00AC6759">
          <w:rPr>
            <w:rStyle w:val="Hyperlink"/>
            <w:rtl/>
          </w:rPr>
          <w:t xml:space="preserve"> </w:t>
        </w:r>
        <w:r w:rsidRPr="00AC6759">
          <w:rPr>
            <w:rStyle w:val="Hyperlink"/>
            <w:rFonts w:hint="cs"/>
            <w:rtl/>
          </w:rPr>
          <w:t>ص</w:t>
        </w:r>
        <w:r w:rsidRPr="00AC6759">
          <w:rPr>
            <w:rStyle w:val="Hyperlink"/>
            <w:rtl/>
          </w:rPr>
          <w:t>225.</w:t>
        </w:r>
      </w:hyperlink>
    </w:p>
  </w:footnote>
  <w:footnote w:id="5">
    <w:p w:rsidR="00A12C84" w:rsidRDefault="00A12C84" w:rsidP="00037966">
      <w:pPr>
        <w:pStyle w:val="FootnoteText"/>
      </w:pPr>
      <w:r>
        <w:rPr>
          <w:rStyle w:val="FootnoteReference"/>
        </w:rPr>
        <w:footnoteRef/>
      </w:r>
      <w:r>
        <w:rPr>
          <w:rtl/>
        </w:rPr>
        <w:t xml:space="preserve"> </w:t>
      </w:r>
      <w:r>
        <w:rPr>
          <w:rFonts w:hint="cs"/>
          <w:rtl/>
        </w:rPr>
        <w:t>کتاب الخمس، آیت الله شبیری، ج۳، ص۲۳۷.</w:t>
      </w:r>
    </w:p>
  </w:footnote>
  <w:footnote w:id="6">
    <w:p w:rsidR="00A12C84" w:rsidRDefault="00A12C84" w:rsidP="006969D9">
      <w:pPr>
        <w:pStyle w:val="FootnoteText"/>
      </w:pPr>
      <w:r>
        <w:rPr>
          <w:rStyle w:val="FootnoteReference"/>
        </w:rPr>
        <w:footnoteRef/>
      </w:r>
      <w:r>
        <w:rPr>
          <w:rtl/>
        </w:rPr>
        <w:t xml:space="preserve"> </w:t>
      </w:r>
      <w:r>
        <w:rPr>
          <w:rFonts w:hint="cs"/>
          <w:rtl/>
        </w:rPr>
        <w:t>نفس المصدر.</w:t>
      </w:r>
    </w:p>
  </w:footnote>
  <w:footnote w:id="7">
    <w:p w:rsidR="00A12C84" w:rsidRDefault="00A12C84">
      <w:pPr>
        <w:pStyle w:val="FootnoteText"/>
      </w:pPr>
      <w:r>
        <w:rPr>
          <w:rStyle w:val="FootnoteReference"/>
        </w:rPr>
        <w:footnoteRef/>
      </w:r>
      <w:r>
        <w:rPr>
          <w:rtl/>
        </w:rPr>
        <w:t xml:space="preserve"> </w:t>
      </w:r>
      <w:r w:rsidRPr="003F16F7">
        <w:rPr>
          <w:rFonts w:hint="cs"/>
          <w:rtl/>
        </w:rPr>
        <w:t>إصباح</w:t>
      </w:r>
      <w:r w:rsidRPr="003F16F7">
        <w:rPr>
          <w:rtl/>
        </w:rPr>
        <w:t xml:space="preserve"> </w:t>
      </w:r>
      <w:r w:rsidRPr="003F16F7">
        <w:rPr>
          <w:rFonts w:hint="cs"/>
          <w:rtl/>
        </w:rPr>
        <w:t>الشيعة</w:t>
      </w:r>
      <w:r w:rsidRPr="003F16F7">
        <w:rPr>
          <w:rtl/>
        </w:rPr>
        <w:t xml:space="preserve"> </w:t>
      </w:r>
      <w:r w:rsidRPr="003F16F7">
        <w:rPr>
          <w:rFonts w:hint="cs"/>
          <w:rtl/>
        </w:rPr>
        <w:t>بمصباح</w:t>
      </w:r>
      <w:r w:rsidRPr="003F16F7">
        <w:rPr>
          <w:rtl/>
        </w:rPr>
        <w:t xml:space="preserve"> </w:t>
      </w:r>
      <w:r w:rsidRPr="003F16F7">
        <w:rPr>
          <w:rFonts w:hint="cs"/>
          <w:rtl/>
        </w:rPr>
        <w:t>الشريعة،</w:t>
      </w:r>
      <w:r w:rsidRPr="003F16F7">
        <w:rPr>
          <w:rtl/>
        </w:rPr>
        <w:t xml:space="preserve"> </w:t>
      </w:r>
      <w:r w:rsidRPr="003F16F7">
        <w:rPr>
          <w:rFonts w:hint="cs"/>
          <w:rtl/>
        </w:rPr>
        <w:t>ص</w:t>
      </w:r>
      <w:r w:rsidRPr="003F16F7">
        <w:rPr>
          <w:rtl/>
        </w:rPr>
        <w:t>: 115‌</w:t>
      </w:r>
    </w:p>
  </w:footnote>
  <w:footnote w:id="8">
    <w:p w:rsidR="00A12C84" w:rsidRDefault="00A12C84">
      <w:pPr>
        <w:pStyle w:val="FootnoteText"/>
      </w:pPr>
      <w:r>
        <w:rPr>
          <w:rStyle w:val="FootnoteReference"/>
        </w:rPr>
        <w:footnoteRef/>
      </w:r>
      <w:r>
        <w:rPr>
          <w:rtl/>
        </w:rPr>
        <w:t xml:space="preserve"> </w:t>
      </w:r>
      <w:r w:rsidRPr="00657C00">
        <w:rPr>
          <w:rFonts w:hint="cs"/>
          <w:rtl/>
        </w:rPr>
        <w:t>کتاب</w:t>
      </w:r>
      <w:r w:rsidRPr="00657C00">
        <w:rPr>
          <w:rtl/>
        </w:rPr>
        <w:t xml:space="preserve"> </w:t>
      </w:r>
      <w:r w:rsidRPr="00657C00">
        <w:rPr>
          <w:rFonts w:hint="cs"/>
          <w:rtl/>
        </w:rPr>
        <w:t>الخمس،</w:t>
      </w:r>
      <w:r w:rsidRPr="00657C00">
        <w:rPr>
          <w:rtl/>
        </w:rPr>
        <w:t xml:space="preserve"> </w:t>
      </w:r>
      <w:r w:rsidRPr="00657C00">
        <w:rPr>
          <w:rFonts w:hint="cs"/>
          <w:rtl/>
        </w:rPr>
        <w:t>آیت</w:t>
      </w:r>
      <w:r w:rsidRPr="00657C00">
        <w:rPr>
          <w:rtl/>
        </w:rPr>
        <w:t xml:space="preserve"> </w:t>
      </w:r>
      <w:r w:rsidRPr="00657C00">
        <w:rPr>
          <w:rFonts w:hint="cs"/>
          <w:rtl/>
        </w:rPr>
        <w:t>الله</w:t>
      </w:r>
      <w:r w:rsidRPr="00657C00">
        <w:rPr>
          <w:rtl/>
        </w:rPr>
        <w:t xml:space="preserve"> </w:t>
      </w:r>
      <w:r w:rsidRPr="00657C00">
        <w:rPr>
          <w:rFonts w:hint="cs"/>
          <w:rtl/>
        </w:rPr>
        <w:t>شبیری،</w:t>
      </w:r>
      <w:r w:rsidRPr="00657C00">
        <w:rPr>
          <w:rtl/>
        </w:rPr>
        <w:t xml:space="preserve"> </w:t>
      </w:r>
      <w:r w:rsidRPr="00657C00">
        <w:rPr>
          <w:rFonts w:hint="cs"/>
          <w:rtl/>
        </w:rPr>
        <w:t>ج</w:t>
      </w:r>
      <w:r w:rsidRPr="00657C00">
        <w:rPr>
          <w:rtl/>
        </w:rPr>
        <w:t>۳</w:t>
      </w:r>
      <w:r w:rsidRPr="00657C00">
        <w:rPr>
          <w:rFonts w:hint="cs"/>
          <w:rtl/>
        </w:rPr>
        <w:t>،</w:t>
      </w:r>
      <w:r w:rsidRPr="00657C00">
        <w:rPr>
          <w:rtl/>
        </w:rPr>
        <w:t xml:space="preserve"> </w:t>
      </w:r>
      <w:r w:rsidRPr="00657C00">
        <w:rPr>
          <w:rFonts w:hint="cs"/>
          <w:rtl/>
        </w:rPr>
        <w:t>ص</w:t>
      </w:r>
      <w:r>
        <w:rPr>
          <w:rtl/>
        </w:rPr>
        <w:t>۲</w:t>
      </w:r>
      <w:r>
        <w:rPr>
          <w:rFonts w:hint="cs"/>
          <w:rtl/>
        </w:rPr>
        <w:t>۴۴.</w:t>
      </w:r>
    </w:p>
  </w:footnote>
  <w:footnote w:id="9">
    <w:p w:rsidR="00A12C84" w:rsidRPr="001F740B" w:rsidRDefault="00A12C84" w:rsidP="006969D9">
      <w:pPr>
        <w:pStyle w:val="FootnoteText"/>
      </w:pPr>
      <w:r w:rsidRPr="001F740B">
        <w:footnoteRef/>
      </w:r>
      <w:r w:rsidRPr="001F740B">
        <w:rPr>
          <w:rtl/>
        </w:rPr>
        <w:t xml:space="preserve"> </w:t>
      </w:r>
      <w:hyperlink r:id="rId3" w:history="1">
        <w:r w:rsidRPr="001F740B">
          <w:rPr>
            <w:rStyle w:val="Hyperlink"/>
            <w:rFonts w:hint="cs"/>
            <w:rtl/>
          </w:rPr>
          <w:t>الکافی،</w:t>
        </w:r>
        <w:r w:rsidRPr="001F740B">
          <w:rPr>
            <w:rStyle w:val="Hyperlink"/>
            <w:rtl/>
          </w:rPr>
          <w:t xml:space="preserve"> </w:t>
        </w:r>
        <w:r w:rsidRPr="001F740B">
          <w:rPr>
            <w:rStyle w:val="Hyperlink"/>
            <w:rFonts w:hint="cs"/>
            <w:rtl/>
          </w:rPr>
          <w:t>محمد</w:t>
        </w:r>
        <w:r w:rsidRPr="001F740B">
          <w:rPr>
            <w:rStyle w:val="Hyperlink"/>
            <w:rtl/>
          </w:rPr>
          <w:t xml:space="preserve"> </w:t>
        </w:r>
        <w:r w:rsidRPr="001F740B">
          <w:rPr>
            <w:rStyle w:val="Hyperlink"/>
            <w:rFonts w:hint="cs"/>
            <w:rtl/>
          </w:rPr>
          <w:t>بن</w:t>
        </w:r>
        <w:r w:rsidRPr="001F740B">
          <w:rPr>
            <w:rStyle w:val="Hyperlink"/>
            <w:rtl/>
          </w:rPr>
          <w:t xml:space="preserve"> </w:t>
        </w:r>
        <w:r w:rsidRPr="001F740B">
          <w:rPr>
            <w:rStyle w:val="Hyperlink"/>
            <w:rFonts w:hint="cs"/>
            <w:rtl/>
          </w:rPr>
          <w:t>یعقوب</w:t>
        </w:r>
        <w:r w:rsidRPr="001F740B">
          <w:rPr>
            <w:rStyle w:val="Hyperlink"/>
            <w:rtl/>
          </w:rPr>
          <w:t xml:space="preserve"> </w:t>
        </w:r>
        <w:r w:rsidRPr="001F740B">
          <w:rPr>
            <w:rStyle w:val="Hyperlink"/>
            <w:rFonts w:hint="cs"/>
            <w:rtl/>
          </w:rPr>
          <w:t>کلینی،</w:t>
        </w:r>
        <w:r w:rsidRPr="001F740B">
          <w:rPr>
            <w:rStyle w:val="Hyperlink"/>
            <w:rtl/>
          </w:rPr>
          <w:t xml:space="preserve"> </w:t>
        </w:r>
        <w:r w:rsidRPr="001F740B">
          <w:rPr>
            <w:rStyle w:val="Hyperlink"/>
            <w:rFonts w:hint="cs"/>
            <w:rtl/>
          </w:rPr>
          <w:t>ج</w:t>
        </w:r>
        <w:r w:rsidRPr="001F740B">
          <w:rPr>
            <w:rStyle w:val="Hyperlink"/>
            <w:rtl/>
          </w:rPr>
          <w:t>3</w:t>
        </w:r>
        <w:r w:rsidRPr="001F740B">
          <w:rPr>
            <w:rStyle w:val="Hyperlink"/>
            <w:rFonts w:hint="cs"/>
            <w:rtl/>
          </w:rPr>
          <w:t>،</w:t>
        </w:r>
        <w:r w:rsidRPr="001F740B">
          <w:rPr>
            <w:rStyle w:val="Hyperlink"/>
            <w:rtl/>
          </w:rPr>
          <w:t xml:space="preserve"> </w:t>
        </w:r>
        <w:r w:rsidRPr="001F740B">
          <w:rPr>
            <w:rStyle w:val="Hyperlink"/>
            <w:rFonts w:hint="cs"/>
            <w:rtl/>
          </w:rPr>
          <w:t>ص</w:t>
        </w:r>
        <w:r w:rsidRPr="001F740B">
          <w:rPr>
            <w:rStyle w:val="Hyperlink"/>
            <w:rtl/>
          </w:rPr>
          <w:t>531.</w:t>
        </w:r>
      </w:hyperlink>
    </w:p>
  </w:footnote>
  <w:footnote w:id="10">
    <w:p w:rsidR="00B83ADF" w:rsidRDefault="00B83ADF" w:rsidP="00B7270D">
      <w:pPr>
        <w:pStyle w:val="FootnoteText"/>
      </w:pPr>
      <w:r>
        <w:rPr>
          <w:rStyle w:val="FootnoteReference"/>
        </w:rPr>
        <w:footnoteRef/>
      </w:r>
      <w:r>
        <w:rPr>
          <w:rtl/>
        </w:rPr>
        <w:t xml:space="preserve"> </w:t>
      </w:r>
      <w:r w:rsidRPr="00B83ADF">
        <w:rPr>
          <w:rFonts w:hint="cs"/>
          <w:rtl/>
        </w:rPr>
        <w:t>جناب</w:t>
      </w:r>
      <w:r w:rsidRPr="00B83ADF">
        <w:rPr>
          <w:rtl/>
        </w:rPr>
        <w:t xml:space="preserve"> </w:t>
      </w:r>
      <w:r w:rsidRPr="00B83ADF">
        <w:rPr>
          <w:rFonts w:hint="cs"/>
          <w:rtl/>
        </w:rPr>
        <w:t>آیت</w:t>
      </w:r>
      <w:r w:rsidRPr="00B83ADF">
        <w:rPr>
          <w:rtl/>
        </w:rPr>
        <w:t xml:space="preserve"> </w:t>
      </w:r>
      <w:r w:rsidRPr="00B83ADF">
        <w:rPr>
          <w:rFonts w:hint="cs"/>
          <w:rtl/>
        </w:rPr>
        <w:t>الله</w:t>
      </w:r>
      <w:r w:rsidRPr="00B83ADF">
        <w:rPr>
          <w:rtl/>
        </w:rPr>
        <w:t xml:space="preserve"> </w:t>
      </w:r>
      <w:r w:rsidRPr="00B83ADF">
        <w:rPr>
          <w:rFonts w:hint="cs"/>
          <w:rtl/>
        </w:rPr>
        <w:t>والد</w:t>
      </w:r>
      <w:r w:rsidRPr="00B83ADF">
        <w:rPr>
          <w:rtl/>
        </w:rPr>
        <w:t xml:space="preserve"> </w:t>
      </w:r>
      <w:r w:rsidRPr="00B83ADF">
        <w:rPr>
          <w:rFonts w:hint="cs"/>
          <w:rtl/>
        </w:rPr>
        <w:t>در</w:t>
      </w:r>
      <w:r w:rsidRPr="00B83ADF">
        <w:rPr>
          <w:rtl/>
        </w:rPr>
        <w:t xml:space="preserve"> </w:t>
      </w:r>
      <w:r w:rsidR="00B7270D">
        <w:rPr>
          <w:rFonts w:hint="cs"/>
          <w:rtl/>
        </w:rPr>
        <w:t>تقریب</w:t>
      </w:r>
      <w:r w:rsidRPr="00B83ADF">
        <w:rPr>
          <w:rtl/>
        </w:rPr>
        <w:t xml:space="preserve"> </w:t>
      </w:r>
      <w:r w:rsidRPr="00B83ADF">
        <w:rPr>
          <w:rFonts w:hint="cs"/>
          <w:rtl/>
        </w:rPr>
        <w:t>اطلاق</w:t>
      </w:r>
      <w:r w:rsidRPr="00B83ADF">
        <w:rPr>
          <w:rtl/>
        </w:rPr>
        <w:t xml:space="preserve"> </w:t>
      </w:r>
      <w:r w:rsidRPr="00B83ADF">
        <w:rPr>
          <w:rFonts w:hint="cs"/>
          <w:rtl/>
        </w:rPr>
        <w:t>مقامی</w:t>
      </w:r>
      <w:r w:rsidRPr="00B83ADF">
        <w:rPr>
          <w:rtl/>
        </w:rPr>
        <w:t xml:space="preserve"> </w:t>
      </w:r>
      <w:r w:rsidRPr="00B83ADF">
        <w:rPr>
          <w:rFonts w:hint="cs"/>
          <w:rtl/>
        </w:rPr>
        <w:t>مجموع</w:t>
      </w:r>
      <w:r w:rsidRPr="00B83ADF">
        <w:rPr>
          <w:rtl/>
        </w:rPr>
        <w:t xml:space="preserve"> </w:t>
      </w:r>
      <w:r w:rsidRPr="00B83ADF">
        <w:rPr>
          <w:rFonts w:hint="cs"/>
          <w:rtl/>
        </w:rPr>
        <w:t>ادلّه</w:t>
      </w:r>
      <w:r w:rsidRPr="00B83ADF">
        <w:rPr>
          <w:rtl/>
        </w:rPr>
        <w:t xml:space="preserve"> </w:t>
      </w:r>
      <w:r w:rsidRPr="00B83ADF">
        <w:rPr>
          <w:rFonts w:hint="cs"/>
          <w:rtl/>
        </w:rPr>
        <w:t>فرموده‌اند</w:t>
      </w:r>
      <w:r w:rsidRPr="00B83ADF">
        <w:rPr>
          <w:rtl/>
        </w:rPr>
        <w:t xml:space="preserve">: </w:t>
      </w:r>
      <w:r w:rsidRPr="00B83ADF">
        <w:rPr>
          <w:rFonts w:hint="cs"/>
          <w:rtl/>
        </w:rPr>
        <w:t>عدم</w:t>
      </w:r>
      <w:r w:rsidRPr="00B83ADF">
        <w:rPr>
          <w:rtl/>
        </w:rPr>
        <w:t xml:space="preserve"> </w:t>
      </w:r>
      <w:r w:rsidRPr="00B83ADF">
        <w:rPr>
          <w:rFonts w:hint="cs"/>
          <w:rtl/>
        </w:rPr>
        <w:t>وصول</w:t>
      </w:r>
      <w:r w:rsidRPr="00B83ADF">
        <w:rPr>
          <w:rtl/>
        </w:rPr>
        <w:t xml:space="preserve"> </w:t>
      </w:r>
      <w:r w:rsidRPr="00B83ADF">
        <w:rPr>
          <w:rFonts w:hint="cs"/>
          <w:rtl/>
        </w:rPr>
        <w:t>به</w:t>
      </w:r>
      <w:r w:rsidRPr="00B83ADF">
        <w:rPr>
          <w:rtl/>
        </w:rPr>
        <w:t xml:space="preserve"> </w:t>
      </w:r>
      <w:r w:rsidRPr="00B83ADF">
        <w:rPr>
          <w:rFonts w:hint="cs"/>
          <w:rtl/>
        </w:rPr>
        <w:t>منزله</w:t>
      </w:r>
      <w:r w:rsidRPr="00B83ADF">
        <w:rPr>
          <w:rtl/>
        </w:rPr>
        <w:t xml:space="preserve"> </w:t>
      </w:r>
      <w:r w:rsidRPr="00B83ADF">
        <w:rPr>
          <w:rFonts w:hint="cs"/>
          <w:rtl/>
        </w:rPr>
        <w:t>عدم</w:t>
      </w:r>
      <w:r w:rsidRPr="00B83ADF">
        <w:rPr>
          <w:rtl/>
        </w:rPr>
        <w:t xml:space="preserve"> </w:t>
      </w:r>
      <w:r w:rsidRPr="00B83ADF">
        <w:rPr>
          <w:rFonts w:hint="cs"/>
          <w:rtl/>
        </w:rPr>
        <w:t>صدور</w:t>
      </w:r>
      <w:r w:rsidRPr="00B83ADF">
        <w:rPr>
          <w:rtl/>
        </w:rPr>
        <w:t xml:space="preserve"> </w:t>
      </w:r>
      <w:r w:rsidRPr="00B83ADF">
        <w:rPr>
          <w:rFonts w:hint="cs"/>
          <w:rtl/>
        </w:rPr>
        <w:t>است</w:t>
      </w:r>
      <w:r w:rsidRPr="00B83ADF">
        <w:rPr>
          <w:rtl/>
        </w:rPr>
        <w:t xml:space="preserve">. </w:t>
      </w:r>
      <w:r w:rsidRPr="00B83ADF">
        <w:rPr>
          <w:rFonts w:hint="cs"/>
          <w:rtl/>
        </w:rPr>
        <w:t>احتمال</w:t>
      </w:r>
      <w:r w:rsidRPr="00B83ADF">
        <w:rPr>
          <w:rtl/>
        </w:rPr>
        <w:t xml:space="preserve"> </w:t>
      </w:r>
      <w:r w:rsidRPr="00B83ADF">
        <w:rPr>
          <w:rFonts w:hint="cs"/>
          <w:rtl/>
        </w:rPr>
        <w:t>آنکه</w:t>
      </w:r>
      <w:r w:rsidRPr="00B83ADF">
        <w:rPr>
          <w:rtl/>
        </w:rPr>
        <w:t xml:space="preserve"> </w:t>
      </w:r>
      <w:r w:rsidRPr="00B83ADF">
        <w:rPr>
          <w:rFonts w:hint="cs"/>
          <w:rtl/>
        </w:rPr>
        <w:t>شاید</w:t>
      </w:r>
      <w:r w:rsidRPr="00B83ADF">
        <w:rPr>
          <w:rtl/>
        </w:rPr>
        <w:t xml:space="preserve"> </w:t>
      </w:r>
      <w:r w:rsidRPr="00B83ADF">
        <w:rPr>
          <w:rFonts w:hint="cs"/>
          <w:rtl/>
        </w:rPr>
        <w:t>در</w:t>
      </w:r>
      <w:r w:rsidRPr="00B83ADF">
        <w:rPr>
          <w:rtl/>
        </w:rPr>
        <w:t xml:space="preserve"> </w:t>
      </w:r>
      <w:r w:rsidRPr="00B83ADF">
        <w:rPr>
          <w:rFonts w:hint="cs"/>
          <w:rtl/>
        </w:rPr>
        <w:t>واقع</w:t>
      </w:r>
      <w:r w:rsidRPr="00B83ADF">
        <w:rPr>
          <w:rtl/>
        </w:rPr>
        <w:t xml:space="preserve"> </w:t>
      </w:r>
      <w:r w:rsidRPr="00B83ADF">
        <w:rPr>
          <w:rFonts w:hint="cs"/>
          <w:rtl/>
        </w:rPr>
        <w:t>دلیلی</w:t>
      </w:r>
      <w:r w:rsidRPr="00B83ADF">
        <w:rPr>
          <w:rtl/>
        </w:rPr>
        <w:t xml:space="preserve"> </w:t>
      </w:r>
      <w:r w:rsidRPr="00B83ADF">
        <w:rPr>
          <w:rFonts w:hint="cs"/>
          <w:rtl/>
        </w:rPr>
        <w:t>بوده</w:t>
      </w:r>
      <w:r w:rsidRPr="00B83ADF">
        <w:rPr>
          <w:rtl/>
        </w:rPr>
        <w:t xml:space="preserve"> </w:t>
      </w:r>
      <w:r w:rsidRPr="00B83ADF">
        <w:rPr>
          <w:rFonts w:hint="cs"/>
          <w:rtl/>
        </w:rPr>
        <w:t>و</w:t>
      </w:r>
      <w:r w:rsidRPr="00B83ADF">
        <w:rPr>
          <w:rtl/>
        </w:rPr>
        <w:t xml:space="preserve"> </w:t>
      </w:r>
      <w:r w:rsidRPr="00B83ADF">
        <w:rPr>
          <w:rFonts w:hint="cs"/>
          <w:rtl/>
        </w:rPr>
        <w:t>به</w:t>
      </w:r>
      <w:r w:rsidRPr="00B83ADF">
        <w:rPr>
          <w:rtl/>
        </w:rPr>
        <w:t xml:space="preserve"> </w:t>
      </w:r>
      <w:r w:rsidRPr="00B83ADF">
        <w:rPr>
          <w:rFonts w:hint="cs"/>
          <w:rtl/>
        </w:rPr>
        <w:t>ما</w:t>
      </w:r>
      <w:r w:rsidRPr="00B83ADF">
        <w:rPr>
          <w:rtl/>
        </w:rPr>
        <w:t xml:space="preserve"> </w:t>
      </w:r>
      <w:r w:rsidRPr="00B83ADF">
        <w:rPr>
          <w:rFonts w:hint="cs"/>
          <w:rtl/>
        </w:rPr>
        <w:t>نرسیده،</w:t>
      </w:r>
      <w:r w:rsidRPr="00B83ADF">
        <w:rPr>
          <w:rtl/>
        </w:rPr>
        <w:t xml:space="preserve"> </w:t>
      </w:r>
      <w:r w:rsidRPr="00B83ADF">
        <w:rPr>
          <w:rFonts w:hint="cs"/>
          <w:rtl/>
        </w:rPr>
        <w:t>مانع</w:t>
      </w:r>
      <w:r w:rsidRPr="00B83ADF">
        <w:rPr>
          <w:rtl/>
        </w:rPr>
        <w:t xml:space="preserve"> </w:t>
      </w:r>
      <w:r w:rsidRPr="00B83ADF">
        <w:rPr>
          <w:rFonts w:hint="cs"/>
          <w:rtl/>
        </w:rPr>
        <w:t>از</w:t>
      </w:r>
      <w:r w:rsidRPr="00B83ADF">
        <w:rPr>
          <w:rtl/>
        </w:rPr>
        <w:t xml:space="preserve"> </w:t>
      </w:r>
      <w:r w:rsidRPr="00B83ADF">
        <w:rPr>
          <w:rFonts w:hint="cs"/>
          <w:rtl/>
        </w:rPr>
        <w:t>اطلاق</w:t>
      </w:r>
      <w:r w:rsidRPr="00B83ADF">
        <w:rPr>
          <w:rtl/>
        </w:rPr>
        <w:t xml:space="preserve"> </w:t>
      </w:r>
      <w:r w:rsidRPr="00B83ADF">
        <w:rPr>
          <w:rFonts w:hint="cs"/>
          <w:rtl/>
        </w:rPr>
        <w:t>مقامی</w:t>
      </w:r>
      <w:r w:rsidRPr="00B83ADF">
        <w:rPr>
          <w:rtl/>
        </w:rPr>
        <w:t xml:space="preserve"> </w:t>
      </w:r>
      <w:r w:rsidRPr="00B83ADF">
        <w:rPr>
          <w:rFonts w:hint="cs"/>
          <w:rtl/>
        </w:rPr>
        <w:t>مجموع</w:t>
      </w:r>
      <w:r w:rsidRPr="00B83ADF">
        <w:rPr>
          <w:rtl/>
        </w:rPr>
        <w:t xml:space="preserve"> </w:t>
      </w:r>
      <w:r w:rsidRPr="00B83ADF">
        <w:rPr>
          <w:rFonts w:hint="cs"/>
          <w:rtl/>
        </w:rPr>
        <w:t>ادلّه</w:t>
      </w:r>
      <w:r w:rsidRPr="00B83ADF">
        <w:rPr>
          <w:rtl/>
        </w:rPr>
        <w:t xml:space="preserve"> </w:t>
      </w:r>
      <w:r w:rsidRPr="00B83ADF">
        <w:rPr>
          <w:rFonts w:hint="cs"/>
          <w:rtl/>
        </w:rPr>
        <w:t>نیست</w:t>
      </w:r>
      <w:r w:rsidRPr="00B83ADF">
        <w:rPr>
          <w:rtl/>
        </w:rPr>
        <w:t xml:space="preserve">. </w:t>
      </w:r>
      <w:r w:rsidRPr="00B83ADF">
        <w:rPr>
          <w:rFonts w:hint="cs"/>
          <w:rtl/>
        </w:rPr>
        <w:t>این</w:t>
      </w:r>
      <w:r w:rsidRPr="00B83ADF">
        <w:rPr>
          <w:rtl/>
        </w:rPr>
        <w:t xml:space="preserve"> </w:t>
      </w:r>
      <w:r w:rsidR="00B7270D">
        <w:rPr>
          <w:rFonts w:hint="cs"/>
          <w:rtl/>
        </w:rPr>
        <w:t>تقریب</w:t>
      </w:r>
      <w:r w:rsidRPr="00B83ADF">
        <w:rPr>
          <w:rtl/>
        </w:rPr>
        <w:t xml:space="preserve"> </w:t>
      </w:r>
      <w:r w:rsidRPr="00B83ADF">
        <w:rPr>
          <w:rFonts w:hint="cs"/>
          <w:rtl/>
        </w:rPr>
        <w:t>نیازمند</w:t>
      </w:r>
      <w:r w:rsidRPr="00B83ADF">
        <w:rPr>
          <w:rtl/>
        </w:rPr>
        <w:t xml:space="preserve"> </w:t>
      </w:r>
      <w:r w:rsidRPr="00B83ADF">
        <w:rPr>
          <w:rFonts w:hint="cs"/>
          <w:rtl/>
        </w:rPr>
        <w:t>توضیحی</w:t>
      </w:r>
      <w:r w:rsidRPr="00B83ADF">
        <w:rPr>
          <w:rtl/>
        </w:rPr>
        <w:t xml:space="preserve"> </w:t>
      </w:r>
      <w:r w:rsidRPr="00B83ADF">
        <w:rPr>
          <w:rFonts w:hint="cs"/>
          <w:rtl/>
        </w:rPr>
        <w:t>است</w:t>
      </w:r>
      <w:r w:rsidRPr="00B83ADF">
        <w:rPr>
          <w:rtl/>
        </w:rPr>
        <w:t xml:space="preserve"> </w:t>
      </w:r>
      <w:r w:rsidRPr="00B83ADF">
        <w:rPr>
          <w:rFonts w:hint="cs"/>
          <w:rtl/>
        </w:rPr>
        <w:t>که</w:t>
      </w:r>
      <w:r w:rsidRPr="00B83ADF">
        <w:rPr>
          <w:rtl/>
        </w:rPr>
        <w:t xml:space="preserve"> </w:t>
      </w:r>
      <w:r w:rsidRPr="00B83ADF">
        <w:rPr>
          <w:rFonts w:hint="cs"/>
          <w:rtl/>
        </w:rPr>
        <w:t>در</w:t>
      </w:r>
      <w:r w:rsidRPr="00B83ADF">
        <w:rPr>
          <w:rtl/>
        </w:rPr>
        <w:t xml:space="preserve"> </w:t>
      </w:r>
      <w:r w:rsidRPr="00B83ADF">
        <w:rPr>
          <w:rFonts w:hint="cs"/>
          <w:rtl/>
        </w:rPr>
        <w:t>جای</w:t>
      </w:r>
      <w:r w:rsidRPr="00B83ADF">
        <w:rPr>
          <w:rtl/>
        </w:rPr>
        <w:t xml:space="preserve"> </w:t>
      </w:r>
      <w:r w:rsidRPr="00B83ADF">
        <w:rPr>
          <w:rFonts w:hint="cs"/>
          <w:rtl/>
        </w:rPr>
        <w:t>خودش</w:t>
      </w:r>
      <w:r w:rsidRPr="00B83ADF">
        <w:rPr>
          <w:rtl/>
        </w:rPr>
        <w:t xml:space="preserve"> </w:t>
      </w:r>
      <w:r w:rsidRPr="00B83ADF">
        <w:rPr>
          <w:rFonts w:hint="cs"/>
          <w:rtl/>
        </w:rPr>
        <w:t>بیان</w:t>
      </w:r>
      <w:r w:rsidRPr="00B83ADF">
        <w:rPr>
          <w:rtl/>
        </w:rPr>
        <w:t xml:space="preserve"> </w:t>
      </w:r>
      <w:r w:rsidRPr="00B83ADF">
        <w:rPr>
          <w:rFonts w:hint="cs"/>
          <w:rtl/>
        </w:rPr>
        <w:t>می‌گردد</w:t>
      </w:r>
      <w:r w:rsidRPr="00B83ADF">
        <w:rPr>
          <w:rtl/>
        </w:rPr>
        <w:t>.</w:t>
      </w:r>
    </w:p>
  </w:footnote>
  <w:footnote w:id="11">
    <w:p w:rsidR="00DA4EF5" w:rsidRDefault="00DA4EF5">
      <w:pPr>
        <w:pStyle w:val="FootnoteText"/>
      </w:pPr>
      <w:r>
        <w:rPr>
          <w:rStyle w:val="FootnoteReference"/>
        </w:rPr>
        <w:footnoteRef/>
      </w:r>
      <w:r>
        <w:rPr>
          <w:rtl/>
        </w:rPr>
        <w:t xml:space="preserve"> </w:t>
      </w:r>
      <w:r w:rsidRPr="00DA4EF5">
        <w:rPr>
          <w:rFonts w:hint="cs"/>
          <w:rtl/>
        </w:rPr>
        <w:t>منتهى</w:t>
      </w:r>
      <w:r w:rsidRPr="00DA4EF5">
        <w:rPr>
          <w:rtl/>
        </w:rPr>
        <w:t xml:space="preserve"> </w:t>
      </w:r>
      <w:r w:rsidRPr="00DA4EF5">
        <w:rPr>
          <w:rFonts w:hint="cs"/>
          <w:rtl/>
        </w:rPr>
        <w:t>المطلب</w:t>
      </w:r>
      <w:r w:rsidRPr="00DA4EF5">
        <w:rPr>
          <w:rtl/>
        </w:rPr>
        <w:t xml:space="preserve"> </w:t>
      </w:r>
      <w:r w:rsidRPr="00DA4EF5">
        <w:rPr>
          <w:rFonts w:hint="cs"/>
          <w:rtl/>
        </w:rPr>
        <w:t>في</w:t>
      </w:r>
      <w:r w:rsidRPr="00DA4EF5">
        <w:rPr>
          <w:rtl/>
        </w:rPr>
        <w:t xml:space="preserve"> </w:t>
      </w:r>
      <w:r w:rsidRPr="00DA4EF5">
        <w:rPr>
          <w:rFonts w:hint="cs"/>
          <w:rtl/>
        </w:rPr>
        <w:t>تحقيق</w:t>
      </w:r>
      <w:r w:rsidRPr="00DA4EF5">
        <w:rPr>
          <w:rtl/>
        </w:rPr>
        <w:t xml:space="preserve"> </w:t>
      </w:r>
      <w:r w:rsidRPr="00DA4EF5">
        <w:rPr>
          <w:rFonts w:hint="cs"/>
          <w:rtl/>
        </w:rPr>
        <w:t>المذهب،</w:t>
      </w:r>
      <w:r w:rsidRPr="00DA4EF5">
        <w:rPr>
          <w:rtl/>
        </w:rPr>
        <w:t xml:space="preserve"> </w:t>
      </w:r>
      <w:r w:rsidRPr="00DA4EF5">
        <w:rPr>
          <w:rFonts w:hint="cs"/>
          <w:rtl/>
        </w:rPr>
        <w:t>ج‌</w:t>
      </w:r>
      <w:r w:rsidRPr="00DA4EF5">
        <w:rPr>
          <w:rtl/>
        </w:rPr>
        <w:t>8</w:t>
      </w:r>
      <w:r w:rsidRPr="00DA4EF5">
        <w:rPr>
          <w:rFonts w:hint="cs"/>
          <w:rtl/>
        </w:rPr>
        <w:t>،</w:t>
      </w:r>
      <w:r w:rsidRPr="00DA4EF5">
        <w:rPr>
          <w:rtl/>
        </w:rPr>
        <w:t xml:space="preserve"> </w:t>
      </w:r>
      <w:r w:rsidRPr="00DA4EF5">
        <w:rPr>
          <w:rFonts w:hint="cs"/>
          <w:rtl/>
        </w:rPr>
        <w:t>ص</w:t>
      </w:r>
      <w:r w:rsidRPr="00DA4EF5">
        <w:rPr>
          <w:rtl/>
        </w:rPr>
        <w:t>: 245‌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84" w:rsidRDefault="00A12C84">
    <w:pPr>
      <w:pStyle w:val="Header"/>
    </w:pPr>
  </w:p>
  <w:p w:rsidR="00A12C84" w:rsidRDefault="00A12C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37966"/>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0A50"/>
    <w:rsid w:val="001347C7"/>
    <w:rsid w:val="001356B0"/>
    <w:rsid w:val="00151937"/>
    <w:rsid w:val="00181844"/>
    <w:rsid w:val="001837E9"/>
    <w:rsid w:val="00187DFA"/>
    <w:rsid w:val="00195BA5"/>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17D2C"/>
    <w:rsid w:val="0024121B"/>
    <w:rsid w:val="0024338F"/>
    <w:rsid w:val="00247D2F"/>
    <w:rsid w:val="00256560"/>
    <w:rsid w:val="00257650"/>
    <w:rsid w:val="00275A42"/>
    <w:rsid w:val="0027605E"/>
    <w:rsid w:val="00281E00"/>
    <w:rsid w:val="00283EDE"/>
    <w:rsid w:val="00294A52"/>
    <w:rsid w:val="002B575F"/>
    <w:rsid w:val="002B729B"/>
    <w:rsid w:val="002C23B5"/>
    <w:rsid w:val="002C53A2"/>
    <w:rsid w:val="002D0040"/>
    <w:rsid w:val="002D2FA8"/>
    <w:rsid w:val="002E220F"/>
    <w:rsid w:val="00307311"/>
    <w:rsid w:val="00307CCA"/>
    <w:rsid w:val="00314FBF"/>
    <w:rsid w:val="0032100F"/>
    <w:rsid w:val="0033402C"/>
    <w:rsid w:val="00340521"/>
    <w:rsid w:val="00345C73"/>
    <w:rsid w:val="00354A99"/>
    <w:rsid w:val="00360311"/>
    <w:rsid w:val="00361922"/>
    <w:rsid w:val="00367E2E"/>
    <w:rsid w:val="0037339B"/>
    <w:rsid w:val="00386C11"/>
    <w:rsid w:val="00397466"/>
    <w:rsid w:val="003A6148"/>
    <w:rsid w:val="003C33F6"/>
    <w:rsid w:val="003C3D2E"/>
    <w:rsid w:val="003C43A5"/>
    <w:rsid w:val="003E1C5C"/>
    <w:rsid w:val="003E6650"/>
    <w:rsid w:val="003F16F7"/>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93862"/>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5986"/>
    <w:rsid w:val="005B7BCA"/>
    <w:rsid w:val="005C0DAE"/>
    <w:rsid w:val="005C188E"/>
    <w:rsid w:val="005D2349"/>
    <w:rsid w:val="005D6C16"/>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969D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59A"/>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4D0A"/>
    <w:rsid w:val="009F7E07"/>
    <w:rsid w:val="00A01522"/>
    <w:rsid w:val="00A10A11"/>
    <w:rsid w:val="00A12C84"/>
    <w:rsid w:val="00A13C6A"/>
    <w:rsid w:val="00A17B09"/>
    <w:rsid w:val="00A457C6"/>
    <w:rsid w:val="00A46AD0"/>
    <w:rsid w:val="00A47063"/>
    <w:rsid w:val="00A473A8"/>
    <w:rsid w:val="00A513F0"/>
    <w:rsid w:val="00A61AC8"/>
    <w:rsid w:val="00A6366F"/>
    <w:rsid w:val="00A65D4C"/>
    <w:rsid w:val="00A70512"/>
    <w:rsid w:val="00A81279"/>
    <w:rsid w:val="00AA1F60"/>
    <w:rsid w:val="00AA40D7"/>
    <w:rsid w:val="00AB5F7D"/>
    <w:rsid w:val="00AC0C50"/>
    <w:rsid w:val="00AC6759"/>
    <w:rsid w:val="00AC6FE2"/>
    <w:rsid w:val="00AF3925"/>
    <w:rsid w:val="00B1296B"/>
    <w:rsid w:val="00B2292F"/>
    <w:rsid w:val="00B43169"/>
    <w:rsid w:val="00B501A8"/>
    <w:rsid w:val="00B55AE4"/>
    <w:rsid w:val="00B70B46"/>
    <w:rsid w:val="00B7270D"/>
    <w:rsid w:val="00B739B0"/>
    <w:rsid w:val="00B814A3"/>
    <w:rsid w:val="00B83ADF"/>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621B"/>
    <w:rsid w:val="00C91EB6"/>
    <w:rsid w:val="00CA10B0"/>
    <w:rsid w:val="00CA2F8E"/>
    <w:rsid w:val="00CA3EE2"/>
    <w:rsid w:val="00CA470D"/>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5775"/>
    <w:rsid w:val="00D922A9"/>
    <w:rsid w:val="00D9394A"/>
    <w:rsid w:val="00DA4EF5"/>
    <w:rsid w:val="00DB0CBB"/>
    <w:rsid w:val="00DB67CC"/>
    <w:rsid w:val="00DC3783"/>
    <w:rsid w:val="00DE1070"/>
    <w:rsid w:val="00E00219"/>
    <w:rsid w:val="00E00FA1"/>
    <w:rsid w:val="00E0316B"/>
    <w:rsid w:val="00E11DE8"/>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67A"/>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2838087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531/&#1588;&#1575;&#1578;&#1607;" TargetMode="External"/><Relationship Id="rId2" Type="http://schemas.openxmlformats.org/officeDocument/2006/relationships/hyperlink" Target="http://lib.eshia.ir/10036/1/225/&#1578;&#1602;&#1575;&#1587;&#1605;" TargetMode="External"/><Relationship Id="rId1" Type="http://schemas.openxmlformats.org/officeDocument/2006/relationships/hyperlink" Target="http://lib.eshia.ir/71613/1/143/&#1590;&#1575;&#1602;&#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58241-B100-45F0-9C69-5997372D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1088</TotalTime>
  <Pages>6</Pages>
  <Words>2151</Words>
  <Characters>12264</Characters>
  <Application>Microsoft Office Word</Application>
  <DocSecurity>0</DocSecurity>
  <Lines>102</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14387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9</cp:revision>
  <cp:lastPrinted>2024-01-27T21:27:00Z</cp:lastPrinted>
  <dcterms:created xsi:type="dcterms:W3CDTF">2024-01-27T03:18:00Z</dcterms:created>
  <dcterms:modified xsi:type="dcterms:W3CDTF">2024-02-04T14:11:00Z</dcterms:modified>
  <cp:contentStatus>ویرایش 2.5</cp:contentStatus>
  <cp:version>2.7</cp:version>
</cp:coreProperties>
</file>