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CD23C" w14:textId="77777777" w:rsidR="0060683F" w:rsidRDefault="0060683F" w:rsidP="00C70D2F">
      <w:pPr>
        <w:pStyle w:val="Heading10"/>
        <w:jc w:val="both"/>
        <w:rPr>
          <w:rStyle w:val="Emphasis"/>
          <w:rtl/>
        </w:rPr>
      </w:pPr>
    </w:p>
    <w:p w14:paraId="31AA1CD7" w14:textId="75C0455F" w:rsidR="007E736A" w:rsidRDefault="00C92EA5" w:rsidP="00A95163">
      <w:pPr>
        <w:jc w:val="center"/>
        <w:rPr>
          <w:rStyle w:val="Emphasis"/>
          <w:rtl/>
        </w:rPr>
      </w:pPr>
      <w:r>
        <w:rPr>
          <w:rStyle w:val="Emphasis"/>
          <w:noProof/>
          <w:lang w:bidi="ar-SA"/>
        </w:rPr>
        <w:drawing>
          <wp:inline distT="0" distB="0" distL="0" distR="0" wp14:anchorId="1283B8F1" wp14:editId="625AA9A0">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6214429" w14:textId="77777777" w:rsidR="000D085B" w:rsidRDefault="000D085B" w:rsidP="00C70D2F">
      <w:pPr>
        <w:jc w:val="both"/>
        <w:rPr>
          <w:rStyle w:val="Emphasis"/>
          <w:rtl/>
        </w:rPr>
      </w:pPr>
    </w:p>
    <w:p w14:paraId="618E54EE" w14:textId="77777777" w:rsidR="002E08F4" w:rsidRDefault="002E08F4" w:rsidP="002E08F4">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2C5D1604" w14:textId="19942B7C" w:rsidR="002E08F4" w:rsidRDefault="002E08F4" w:rsidP="002E08F4">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w:t>
      </w:r>
      <w:r>
        <w:rPr>
          <w:rFonts w:ascii="IRANSans" w:hAnsi="IRANSans" w:cs="IRANSans" w:hint="cs"/>
          <w:b/>
          <w:bCs/>
          <w:color w:val="C00000"/>
          <w:shd w:val="clear" w:color="auto" w:fill="FFFFFF"/>
          <w:rtl/>
          <w:lang w:val="x-none"/>
        </w:rPr>
        <w:t>10</w:t>
      </w:r>
      <w:bookmarkStart w:id="1" w:name="_GoBack"/>
      <w:bookmarkEnd w:id="1"/>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A225772" w14:textId="77777777" w:rsidR="002E08F4" w:rsidRDefault="002E08F4" w:rsidP="002E08F4">
      <w:pPr>
        <w:rPr>
          <w:rStyle w:val="Emphasis"/>
          <w:rFonts w:ascii="Calibri" w:hAnsi="Calibri" w:cs="B Badr"/>
          <w:color w:val="984806" w:themeColor="accent6" w:themeShade="80"/>
          <w:sz w:val="22"/>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p>
    <w:p w14:paraId="430C2ECF" w14:textId="10F561B0" w:rsidR="00F343FB" w:rsidRDefault="00F842AD" w:rsidP="00C70D2F">
      <w:pPr>
        <w:jc w:val="both"/>
        <w:rPr>
          <w:rtl/>
        </w:rPr>
      </w:pPr>
      <w:r w:rsidRPr="00122C9D">
        <w:rPr>
          <w:rStyle w:val="Emphasis"/>
          <w:rFonts w:hint="cs"/>
          <w:b/>
          <w:bCs w:val="0"/>
          <w:color w:val="FF0000"/>
          <w:rtl/>
        </w:rPr>
        <w:t>موضوع:</w:t>
      </w:r>
      <w:r>
        <w:rPr>
          <w:rFonts w:hint="cs"/>
          <w:rtl/>
        </w:rPr>
        <w:t xml:space="preserve"> </w:t>
      </w:r>
      <w:bookmarkStart w:id="2" w:name="Bokkolli"/>
      <w:bookmarkEnd w:id="2"/>
      <w:r w:rsidR="000A16FA">
        <w:rPr>
          <w:rtl/>
        </w:rPr>
        <w:t>الأوامر</w:t>
      </w:r>
      <w:r w:rsidR="00724537">
        <w:rPr>
          <w:rFonts w:hint="cs"/>
          <w:rtl/>
        </w:rPr>
        <w:t>/</w:t>
      </w:r>
      <w:bookmarkStart w:id="3" w:name="BokSabj_d"/>
      <w:bookmarkEnd w:id="3"/>
      <w:r w:rsidR="000A16FA">
        <w:rPr>
          <w:rtl/>
        </w:rPr>
        <w:t>مادة الأمر</w:t>
      </w:r>
      <w:r w:rsidR="00596C1E">
        <w:rPr>
          <w:rFonts w:hint="cs"/>
          <w:rtl/>
        </w:rPr>
        <w:t xml:space="preserve"> </w:t>
      </w:r>
      <w:r w:rsidR="00724537">
        <w:rPr>
          <w:rFonts w:hint="cs"/>
          <w:rtl/>
        </w:rPr>
        <w:t>/</w:t>
      </w:r>
      <w:bookmarkStart w:id="4" w:name="BokSabj2_d"/>
      <w:bookmarkEnd w:id="4"/>
      <w:r w:rsidR="000A16FA">
        <w:rPr>
          <w:rtl/>
        </w:rPr>
        <w:t>معان</w:t>
      </w:r>
      <w:r w:rsidR="000A16FA">
        <w:rPr>
          <w:rFonts w:hint="cs"/>
          <w:rtl/>
        </w:rPr>
        <w:t>ی</w:t>
      </w:r>
      <w:r w:rsidR="000A16FA">
        <w:rPr>
          <w:rtl/>
        </w:rPr>
        <w:t xml:space="preserve"> ماد</w:t>
      </w:r>
      <w:r w:rsidR="00992148">
        <w:rPr>
          <w:rFonts w:hint="cs"/>
          <w:rtl/>
        </w:rPr>
        <w:t>ۀ</w:t>
      </w:r>
      <w:r w:rsidR="000A16FA">
        <w:rPr>
          <w:rtl/>
        </w:rPr>
        <w:t xml:space="preserve"> امر</w:t>
      </w:r>
      <w:r w:rsidR="00C507F8">
        <w:rPr>
          <w:rFonts w:hint="cs"/>
          <w:rtl/>
        </w:rPr>
        <w:t>/اشتراک لفظی مادۀ امر</w:t>
      </w:r>
    </w:p>
    <w:p w14:paraId="456C8228" w14:textId="12309CA8" w:rsidR="002A51A0" w:rsidRDefault="00992148" w:rsidP="00C70D2F">
      <w:pPr>
        <w:pStyle w:val="Heading1"/>
        <w:jc w:val="both"/>
        <w:rPr>
          <w:rtl/>
        </w:rPr>
      </w:pPr>
      <w:bookmarkStart w:id="5" w:name="_Toc165789488"/>
      <w:r>
        <w:rPr>
          <w:rFonts w:hint="cs"/>
          <w:rtl/>
        </w:rPr>
        <w:t>معانی مادۀ امر</w:t>
      </w:r>
      <w:bookmarkEnd w:id="5"/>
    </w:p>
    <w:p w14:paraId="58B0289D" w14:textId="0F8F08E1" w:rsidR="00D82E46" w:rsidRDefault="00D82E46" w:rsidP="00C70D2F">
      <w:pPr>
        <w:jc w:val="both"/>
        <w:rPr>
          <w:rtl/>
        </w:rPr>
      </w:pPr>
      <w:bookmarkStart w:id="6" w:name="StartCurserPos"/>
      <w:r>
        <w:rPr>
          <w:rFonts w:hint="cs"/>
          <w:rtl/>
        </w:rPr>
        <w:t>بحث پیرامون مادۀ امر بود.</w:t>
      </w:r>
    </w:p>
    <w:p w14:paraId="2822E9FB" w14:textId="089E400E" w:rsidR="00D82E46" w:rsidRDefault="00D82E46" w:rsidP="00C70D2F">
      <w:pPr>
        <w:pStyle w:val="Heading2"/>
        <w:jc w:val="both"/>
        <w:rPr>
          <w:rtl/>
        </w:rPr>
      </w:pPr>
      <w:bookmarkStart w:id="7" w:name="_Toc165789489"/>
      <w:r>
        <w:rPr>
          <w:rFonts w:hint="cs"/>
          <w:rtl/>
        </w:rPr>
        <w:t>اشتراک لفظی مادۀ امر</w:t>
      </w:r>
      <w:bookmarkEnd w:id="7"/>
    </w:p>
    <w:p w14:paraId="0ECF093D" w14:textId="0C3141A6" w:rsidR="00992148" w:rsidRDefault="00992148" w:rsidP="00C70D2F">
      <w:pPr>
        <w:jc w:val="both"/>
        <w:rPr>
          <w:rtl/>
        </w:rPr>
      </w:pPr>
      <w:r>
        <w:rPr>
          <w:rFonts w:hint="cs"/>
          <w:rtl/>
        </w:rPr>
        <w:t xml:space="preserve">از قدیم </w:t>
      </w:r>
      <w:r w:rsidR="00AF68A6">
        <w:rPr>
          <w:rFonts w:hint="cs"/>
          <w:rtl/>
        </w:rPr>
        <w:t>در کتاب‌های لغت دو معنا برای</w:t>
      </w:r>
      <w:r>
        <w:rPr>
          <w:rFonts w:hint="cs"/>
          <w:rtl/>
        </w:rPr>
        <w:t xml:space="preserve"> مادۀ</w:t>
      </w:r>
      <w:r w:rsidR="00AF68A6">
        <w:rPr>
          <w:rFonts w:hint="cs"/>
          <w:rtl/>
        </w:rPr>
        <w:t xml:space="preserve"> امر ذکر شده</w:t>
      </w:r>
      <w:r>
        <w:rPr>
          <w:rFonts w:hint="cs"/>
          <w:rtl/>
        </w:rPr>
        <w:t xml:space="preserve"> است: </w:t>
      </w:r>
      <w:r w:rsidR="00AF68A6">
        <w:rPr>
          <w:rFonts w:hint="cs"/>
          <w:rtl/>
        </w:rPr>
        <w:t>امر</w:t>
      </w:r>
      <w:r>
        <w:rPr>
          <w:rFonts w:hint="cs"/>
          <w:rtl/>
        </w:rPr>
        <w:t xml:space="preserve">ی که </w:t>
      </w:r>
      <w:r w:rsidR="00AF68A6">
        <w:rPr>
          <w:rFonts w:hint="cs"/>
          <w:rtl/>
        </w:rPr>
        <w:t xml:space="preserve">واحد امور </w:t>
      </w:r>
      <w:r>
        <w:rPr>
          <w:rFonts w:hint="cs"/>
          <w:rtl/>
        </w:rPr>
        <w:t xml:space="preserve">است؛ و امری که ضدّ نهی و </w:t>
      </w:r>
      <w:r w:rsidR="00AF68A6">
        <w:rPr>
          <w:rFonts w:hint="cs"/>
          <w:rtl/>
        </w:rPr>
        <w:t>مصدر اَمَرْتُ</w:t>
      </w:r>
      <w:r>
        <w:rPr>
          <w:rFonts w:hint="cs"/>
          <w:rtl/>
        </w:rPr>
        <w:t xml:space="preserve"> است</w:t>
      </w:r>
      <w:r w:rsidR="00AF68A6">
        <w:rPr>
          <w:rFonts w:hint="cs"/>
          <w:rtl/>
        </w:rPr>
        <w:t>.</w:t>
      </w:r>
    </w:p>
    <w:p w14:paraId="2861FBB8" w14:textId="30B163D2" w:rsidR="00AE07DF" w:rsidRDefault="00AF68A6" w:rsidP="00C70D2F">
      <w:pPr>
        <w:jc w:val="both"/>
        <w:rPr>
          <w:rtl/>
        </w:rPr>
      </w:pPr>
      <w:r>
        <w:rPr>
          <w:rFonts w:hint="cs"/>
          <w:rtl/>
        </w:rPr>
        <w:t xml:space="preserve">کتاب المعجم فی فقه </w:t>
      </w:r>
      <w:r w:rsidR="00992148">
        <w:rPr>
          <w:rFonts w:hint="cs"/>
          <w:rtl/>
        </w:rPr>
        <w:t>لغة</w:t>
      </w:r>
      <w:r>
        <w:rPr>
          <w:rFonts w:hint="cs"/>
          <w:rtl/>
        </w:rPr>
        <w:t xml:space="preserve"> القرآن و سرّ بلاغته</w:t>
      </w:r>
      <w:r w:rsidR="00992148">
        <w:rPr>
          <w:rFonts w:hint="cs"/>
          <w:rtl/>
        </w:rPr>
        <w:t xml:space="preserve">، کتابی است که </w:t>
      </w:r>
      <w:r w:rsidR="00AE07DF">
        <w:rPr>
          <w:rFonts w:hint="cs"/>
          <w:rtl/>
        </w:rPr>
        <w:t>مطالب کتب لغت و تفسیر را جمع‌بندی نموده و آن را به نظم و ترتیب مناسبی ارائه داده است. اینک قصد داریم کلمات اندیشمندان را بر اساس این کتاب دنبال کنیم.</w:t>
      </w:r>
      <w:r w:rsidR="006643DF">
        <w:rPr>
          <w:rFonts w:hint="cs"/>
          <w:rtl/>
        </w:rPr>
        <w:t xml:space="preserve"> مطالب مورد نظر ما در جلد سوم این کتاب است لذا از این به بعد شمارۀ جلد را بازگو نمی‌کنیم و تنها شمارۀ  صفحه </w:t>
      </w:r>
      <w:r w:rsidR="00CC13B0">
        <w:rPr>
          <w:rFonts w:hint="cs"/>
          <w:rtl/>
        </w:rPr>
        <w:t>را ذکر می‌کنیم.</w:t>
      </w:r>
    </w:p>
    <w:p w14:paraId="5C7DC671" w14:textId="3D5ED2F1" w:rsidR="006643DF" w:rsidRDefault="00CC13B0" w:rsidP="00C70D2F">
      <w:pPr>
        <w:jc w:val="both"/>
        <w:rPr>
          <w:rtl/>
        </w:rPr>
      </w:pPr>
      <w:r>
        <w:rPr>
          <w:rFonts w:hint="cs"/>
          <w:rtl/>
        </w:rPr>
        <w:t xml:space="preserve">بر اساس گزارش این کتاب در صفحۀ 106 </w:t>
      </w:r>
      <w:r w:rsidR="00AE07DF">
        <w:rPr>
          <w:rFonts w:hint="cs"/>
          <w:rtl/>
        </w:rPr>
        <w:t xml:space="preserve">یکی از لغت‌شناسانی که این دو معنا را برای مادۀ امر ذکر کرده، ابن سکیّت است. </w:t>
      </w:r>
      <w:r w:rsidR="00AF68A6">
        <w:rPr>
          <w:rFonts w:hint="cs"/>
          <w:rtl/>
        </w:rPr>
        <w:t>ابن سک</w:t>
      </w:r>
      <w:r w:rsidR="00AE07DF">
        <w:rPr>
          <w:rFonts w:hint="cs"/>
          <w:rtl/>
        </w:rPr>
        <w:t>ّ</w:t>
      </w:r>
      <w:r w:rsidR="00AF68A6">
        <w:rPr>
          <w:rFonts w:hint="cs"/>
          <w:rtl/>
        </w:rPr>
        <w:t>یت می‌گوید</w:t>
      </w:r>
      <w:r w:rsidR="006643DF">
        <w:rPr>
          <w:rFonts w:hint="cs"/>
          <w:rtl/>
        </w:rPr>
        <w:t>:</w:t>
      </w:r>
      <w:r w:rsidR="00AF68A6">
        <w:rPr>
          <w:rFonts w:hint="cs"/>
          <w:rtl/>
        </w:rPr>
        <w:t xml:space="preserve"> </w:t>
      </w:r>
      <w:r w:rsidR="006643DF" w:rsidRPr="006643DF">
        <w:rPr>
          <w:rFonts w:hint="cs"/>
          <w:color w:val="000080"/>
          <w:rtl/>
        </w:rPr>
        <w:t>«</w:t>
      </w:r>
      <w:r w:rsidR="00AF68A6" w:rsidRPr="006643DF">
        <w:rPr>
          <w:rFonts w:hint="cs"/>
          <w:color w:val="000080"/>
          <w:rtl/>
        </w:rPr>
        <w:t>الامر من الامور و الامر مصدر امرتُ امراً</w:t>
      </w:r>
      <w:r w:rsidR="006643DF" w:rsidRPr="006643DF">
        <w:rPr>
          <w:rFonts w:hint="cs"/>
          <w:color w:val="000080"/>
          <w:rtl/>
        </w:rPr>
        <w:t>»</w:t>
      </w:r>
      <w:r w:rsidR="008029E4">
        <w:rPr>
          <w:rStyle w:val="FootnoteReference"/>
          <w:color w:val="000080"/>
          <w:rtl/>
        </w:rPr>
        <w:footnoteReference w:id="1"/>
      </w:r>
      <w:r w:rsidR="006643DF">
        <w:rPr>
          <w:rFonts w:hint="cs"/>
          <w:color w:val="000080"/>
          <w:rtl/>
        </w:rPr>
        <w:t>.</w:t>
      </w:r>
    </w:p>
    <w:p w14:paraId="668094AE" w14:textId="1A343219" w:rsidR="00CC13B0" w:rsidRDefault="00AF68A6" w:rsidP="00C70D2F">
      <w:pPr>
        <w:jc w:val="both"/>
        <w:rPr>
          <w:rtl/>
        </w:rPr>
      </w:pPr>
      <w:r>
        <w:rPr>
          <w:rFonts w:hint="cs"/>
          <w:rtl/>
        </w:rPr>
        <w:t xml:space="preserve">ولی </w:t>
      </w:r>
      <w:r w:rsidR="00CC13B0">
        <w:rPr>
          <w:rFonts w:hint="cs"/>
          <w:rtl/>
        </w:rPr>
        <w:t>در بین برخی اندیشمندان کسانی هستند که تمایل دارند معانی مختلف امر را به یکدیگر مرتبط کنند. یکی از کسانی که اساساً سبک کارش، مرتبط</w:t>
      </w:r>
      <w:r w:rsidR="008029E4">
        <w:rPr>
          <w:rFonts w:hint="cs"/>
          <w:rtl/>
        </w:rPr>
        <w:t>‌</w:t>
      </w:r>
      <w:r w:rsidR="00CC13B0">
        <w:rPr>
          <w:rFonts w:hint="cs"/>
          <w:rtl/>
        </w:rPr>
        <w:t>سازی بین معانی مختلف است، ابن فارس در معجم مقاییس اللغة است.</w:t>
      </w:r>
    </w:p>
    <w:p w14:paraId="32364663" w14:textId="77777777" w:rsidR="00CC13B0" w:rsidRDefault="00AF68A6" w:rsidP="00C70D2F">
      <w:pPr>
        <w:jc w:val="both"/>
        <w:rPr>
          <w:rtl/>
        </w:rPr>
      </w:pPr>
      <w:r>
        <w:rPr>
          <w:rFonts w:hint="cs"/>
          <w:rtl/>
        </w:rPr>
        <w:t>ابن فارس در معجم مقاییس اللغة برای امر ۵ اصل ذکر کرده</w:t>
      </w:r>
      <w:r w:rsidR="00CC13B0">
        <w:rPr>
          <w:rFonts w:hint="cs"/>
          <w:rtl/>
        </w:rPr>
        <w:t xml:space="preserve"> است:</w:t>
      </w:r>
    </w:p>
    <w:p w14:paraId="0A0E04F5" w14:textId="6F94AB31" w:rsidR="00CC13B0" w:rsidRDefault="00CC13B0" w:rsidP="00C70D2F">
      <w:pPr>
        <w:pStyle w:val="ListParagraph"/>
        <w:numPr>
          <w:ilvl w:val="0"/>
          <w:numId w:val="16"/>
        </w:numPr>
        <w:jc w:val="both"/>
      </w:pPr>
      <w:r>
        <w:rPr>
          <w:rFonts w:hint="cs"/>
          <w:rtl/>
        </w:rPr>
        <w:t>مفرد امور.</w:t>
      </w:r>
    </w:p>
    <w:p w14:paraId="1F8F580C" w14:textId="77777777" w:rsidR="00CC13B0" w:rsidRDefault="00AF68A6" w:rsidP="00C70D2F">
      <w:pPr>
        <w:pStyle w:val="ListParagraph"/>
        <w:numPr>
          <w:ilvl w:val="0"/>
          <w:numId w:val="16"/>
        </w:numPr>
        <w:jc w:val="both"/>
      </w:pPr>
      <w:r>
        <w:rPr>
          <w:rFonts w:hint="cs"/>
          <w:rtl/>
        </w:rPr>
        <w:t>ضد</w:t>
      </w:r>
      <w:r w:rsidR="00CC13B0">
        <w:rPr>
          <w:rFonts w:hint="cs"/>
          <w:rtl/>
        </w:rPr>
        <w:t>ّ</w:t>
      </w:r>
      <w:r>
        <w:rPr>
          <w:rFonts w:hint="cs"/>
          <w:rtl/>
        </w:rPr>
        <w:t xml:space="preserve"> نهی</w:t>
      </w:r>
      <w:r w:rsidR="00CC13B0">
        <w:rPr>
          <w:rFonts w:hint="cs"/>
          <w:rtl/>
        </w:rPr>
        <w:t>.</w:t>
      </w:r>
    </w:p>
    <w:p w14:paraId="3F61A492" w14:textId="77777777" w:rsidR="00CC13B0" w:rsidRDefault="00CC13B0" w:rsidP="00C70D2F">
      <w:pPr>
        <w:pStyle w:val="ListParagraph"/>
        <w:numPr>
          <w:ilvl w:val="0"/>
          <w:numId w:val="16"/>
        </w:numPr>
        <w:jc w:val="both"/>
      </w:pPr>
      <w:r>
        <w:rPr>
          <w:rFonts w:hint="cs"/>
          <w:rtl/>
        </w:rPr>
        <w:t>نماء و برکت.</w:t>
      </w:r>
    </w:p>
    <w:p w14:paraId="29DB99BA" w14:textId="5F72A878" w:rsidR="00CC13B0" w:rsidRDefault="00AF68A6" w:rsidP="00C70D2F">
      <w:pPr>
        <w:pStyle w:val="ListParagraph"/>
        <w:numPr>
          <w:ilvl w:val="0"/>
          <w:numId w:val="16"/>
        </w:numPr>
        <w:jc w:val="both"/>
      </w:pPr>
      <w:r>
        <w:rPr>
          <w:rFonts w:hint="cs"/>
          <w:rtl/>
        </w:rPr>
        <w:t>مَعْلم</w:t>
      </w:r>
      <w:r w:rsidR="00CC13B0">
        <w:rPr>
          <w:rFonts w:hint="cs"/>
          <w:rtl/>
        </w:rPr>
        <w:t>؛</w:t>
      </w:r>
      <w:r>
        <w:rPr>
          <w:rFonts w:hint="cs"/>
          <w:rtl/>
        </w:rPr>
        <w:t xml:space="preserve"> یعنی پرچم و نشانه</w:t>
      </w:r>
      <w:r w:rsidR="00CC13B0">
        <w:rPr>
          <w:rFonts w:hint="cs"/>
          <w:rtl/>
        </w:rPr>
        <w:t>. أمارة شیء نیز از امر به همین معنا است.</w:t>
      </w:r>
    </w:p>
    <w:p w14:paraId="07BAD59E" w14:textId="09296C31" w:rsidR="00CC13B0" w:rsidRDefault="00CC13B0" w:rsidP="00C70D2F">
      <w:pPr>
        <w:pStyle w:val="ListParagraph"/>
        <w:numPr>
          <w:ilvl w:val="0"/>
          <w:numId w:val="16"/>
        </w:numPr>
        <w:jc w:val="both"/>
      </w:pPr>
      <w:r>
        <w:rPr>
          <w:rFonts w:hint="cs"/>
          <w:rtl/>
        </w:rPr>
        <w:t>تعجّب</w:t>
      </w:r>
      <w:r w:rsidR="008029E4">
        <w:rPr>
          <w:rFonts w:hint="cs"/>
          <w:rtl/>
        </w:rPr>
        <w:t>.</w:t>
      </w:r>
      <w:r>
        <w:rPr>
          <w:rFonts w:hint="cs"/>
          <w:rtl/>
        </w:rPr>
        <w:t xml:space="preserve"> </w:t>
      </w:r>
      <w:r w:rsidR="002E1365">
        <w:rPr>
          <w:rFonts w:hint="cs"/>
          <w:rtl/>
        </w:rPr>
        <w:t>«</w:t>
      </w:r>
      <w:r>
        <w:rPr>
          <w:rFonts w:hint="cs"/>
          <w:rtl/>
        </w:rPr>
        <w:t>شیئاً إمراً</w:t>
      </w:r>
      <w:r w:rsidR="002E1365">
        <w:rPr>
          <w:rFonts w:hint="cs"/>
          <w:rtl/>
        </w:rPr>
        <w:t>»</w:t>
      </w:r>
      <w:r>
        <w:rPr>
          <w:rFonts w:hint="cs"/>
          <w:rtl/>
        </w:rPr>
        <w:t xml:space="preserve"> به معنای شیء عجیب است.</w:t>
      </w:r>
    </w:p>
    <w:p w14:paraId="38EA3037" w14:textId="68291601" w:rsidR="00CA2F5B" w:rsidRDefault="00CC13B0" w:rsidP="00C70D2F">
      <w:pPr>
        <w:jc w:val="both"/>
        <w:rPr>
          <w:rtl/>
        </w:rPr>
      </w:pPr>
      <w:r>
        <w:rPr>
          <w:rFonts w:hint="cs"/>
          <w:rtl/>
        </w:rPr>
        <w:lastRenderedPageBreak/>
        <w:t>ولی یک تمایلاتی وجود دارد که این معانی مختلف به یکدیگر بازگردانده شوند. یکی از نمونه‌های روشن آن مرحوم شیخ طوسی در تبیان است. در کتاب</w:t>
      </w:r>
      <w:r w:rsidR="008029E4">
        <w:rPr>
          <w:rFonts w:hint="cs"/>
          <w:rtl/>
        </w:rPr>
        <w:t xml:space="preserve"> المعجم فی فقه لغة القرآن و سرّ بلاغته،</w:t>
      </w:r>
      <w:r>
        <w:rPr>
          <w:rFonts w:hint="cs"/>
          <w:rtl/>
        </w:rPr>
        <w:t xml:space="preserve"> از قول مرحوم شیخ مطلبی را نقل می‌کند که نمی‌دانم در خود تبیان است یا در سائر منابع شیخ طوسی که در اختیار ما نیست. </w:t>
      </w:r>
      <w:r w:rsidR="00AF68A6">
        <w:rPr>
          <w:rFonts w:hint="cs"/>
          <w:rtl/>
        </w:rPr>
        <w:t>یکی از منابع شیخ طوسی که چاپ نشده</w:t>
      </w:r>
      <w:r>
        <w:rPr>
          <w:rFonts w:hint="cs"/>
          <w:rtl/>
        </w:rPr>
        <w:t>،</w:t>
      </w:r>
      <w:r w:rsidR="00AF68A6">
        <w:rPr>
          <w:rFonts w:hint="cs"/>
          <w:rtl/>
        </w:rPr>
        <w:t xml:space="preserve"> ولی ظاهرا شیخ طوسی </w:t>
      </w:r>
      <w:r>
        <w:rPr>
          <w:rFonts w:hint="cs"/>
          <w:rtl/>
        </w:rPr>
        <w:t xml:space="preserve">بسیار از آن </w:t>
      </w:r>
      <w:r w:rsidR="00AF68A6">
        <w:rPr>
          <w:rFonts w:hint="cs"/>
          <w:rtl/>
        </w:rPr>
        <w:t>اخذ کرده</w:t>
      </w:r>
      <w:r>
        <w:rPr>
          <w:rFonts w:hint="cs"/>
          <w:rtl/>
        </w:rPr>
        <w:t>،</w:t>
      </w:r>
      <w:r w:rsidR="00AF68A6">
        <w:rPr>
          <w:rFonts w:hint="cs"/>
          <w:rtl/>
        </w:rPr>
        <w:t xml:space="preserve"> کتاب مصابیح </w:t>
      </w:r>
      <w:r>
        <w:rPr>
          <w:rFonts w:hint="cs"/>
          <w:rtl/>
        </w:rPr>
        <w:t>وزیر مغربی است.</w:t>
      </w:r>
      <w:r w:rsidR="00CA2F5B">
        <w:rPr>
          <w:rFonts w:hint="cs"/>
          <w:rtl/>
        </w:rPr>
        <w:t xml:space="preserve"> دسترسی ما به مطالب</w:t>
      </w:r>
      <w:r>
        <w:rPr>
          <w:rFonts w:hint="cs"/>
          <w:rtl/>
        </w:rPr>
        <w:t xml:space="preserve"> </w:t>
      </w:r>
      <w:r w:rsidR="00CA2F5B">
        <w:rPr>
          <w:rFonts w:hint="cs"/>
          <w:rtl/>
        </w:rPr>
        <w:t>این کتاب بسیار</w:t>
      </w:r>
      <w:r w:rsidR="00AF68A6">
        <w:rPr>
          <w:rFonts w:hint="cs"/>
          <w:rtl/>
        </w:rPr>
        <w:t xml:space="preserve"> محدود</w:t>
      </w:r>
      <w:r w:rsidR="00CA2F5B">
        <w:rPr>
          <w:rFonts w:hint="cs"/>
          <w:rtl/>
        </w:rPr>
        <w:t xml:space="preserve"> است </w:t>
      </w:r>
      <w:r w:rsidR="00AF68A6">
        <w:rPr>
          <w:rFonts w:hint="cs"/>
          <w:rtl/>
        </w:rPr>
        <w:t xml:space="preserve">چون </w:t>
      </w:r>
      <w:r w:rsidR="00CA2F5B">
        <w:rPr>
          <w:rFonts w:hint="cs"/>
          <w:rtl/>
        </w:rPr>
        <w:t xml:space="preserve">موضوع </w:t>
      </w:r>
      <w:r w:rsidR="00AF68A6">
        <w:rPr>
          <w:rFonts w:hint="cs"/>
          <w:rtl/>
        </w:rPr>
        <w:t>پایان</w:t>
      </w:r>
      <w:r w:rsidR="00CA2F5B">
        <w:rPr>
          <w:rFonts w:hint="cs"/>
          <w:rtl/>
        </w:rPr>
        <w:t xml:space="preserve">‌نامۀ شخصی بوده و در </w:t>
      </w:r>
      <w:r w:rsidR="008029E4">
        <w:rPr>
          <w:rFonts w:hint="cs"/>
          <w:rtl/>
        </w:rPr>
        <w:t>همین حدّ</w:t>
      </w:r>
      <w:r w:rsidR="00CA2F5B">
        <w:rPr>
          <w:rFonts w:hint="cs"/>
          <w:rtl/>
        </w:rPr>
        <w:t xml:space="preserve"> منعکس شده است. این را در کتابخانۀ آقای سبحانی دیدم ولی ظاهراً یک چاپ رسمی ندارد و آنچه در این کتابخانه است شاید به یک معنا چاپ حساب نشود چون در واقع شبیه درس‌هایی است که آیت الله والد در مبحث حجّ داشته‌اند و به صورت جزوه‌های غیر رسمی منتشر شده است. </w:t>
      </w:r>
      <w:r w:rsidR="00AF68A6">
        <w:rPr>
          <w:rFonts w:hint="cs"/>
          <w:rtl/>
        </w:rPr>
        <w:t>گاهی پایان</w:t>
      </w:r>
      <w:r w:rsidR="00CA2F5B">
        <w:rPr>
          <w:rFonts w:hint="cs"/>
          <w:rtl/>
        </w:rPr>
        <w:t>‌</w:t>
      </w:r>
      <w:r w:rsidR="00AF68A6">
        <w:rPr>
          <w:rFonts w:hint="cs"/>
          <w:rtl/>
        </w:rPr>
        <w:t>نامه‌ها را در حد ۲۰، ۳۰ تا ۱۰۰ تا تکثیر</w:t>
      </w:r>
      <w:r w:rsidR="00CA2F5B">
        <w:rPr>
          <w:rFonts w:hint="cs"/>
          <w:rtl/>
        </w:rPr>
        <w:t xml:space="preserve"> می‌کنند. به هر حال</w:t>
      </w:r>
      <w:r w:rsidR="002E1365">
        <w:rPr>
          <w:rFonts w:hint="cs"/>
          <w:rtl/>
        </w:rPr>
        <w:t xml:space="preserve"> ظاهراً</w:t>
      </w:r>
      <w:r w:rsidR="00CA2F5B">
        <w:rPr>
          <w:rFonts w:hint="cs"/>
          <w:rtl/>
        </w:rPr>
        <w:t xml:space="preserve"> این کتاب یک چاپ پاکیزه ندارد. </w:t>
      </w:r>
      <w:r w:rsidR="00AF68A6">
        <w:rPr>
          <w:rFonts w:hint="cs"/>
          <w:rtl/>
        </w:rPr>
        <w:t>آقای دکتر کریمی</w:t>
      </w:r>
      <w:r w:rsidR="00CA2F5B">
        <w:rPr>
          <w:rFonts w:hint="cs"/>
          <w:rtl/>
        </w:rPr>
        <w:t>‌</w:t>
      </w:r>
      <w:r w:rsidR="00AF68A6">
        <w:rPr>
          <w:rFonts w:hint="cs"/>
          <w:rtl/>
        </w:rPr>
        <w:t xml:space="preserve">نیا مشغول کار این کتاب بود، </w:t>
      </w:r>
      <w:r w:rsidR="00CA2F5B">
        <w:rPr>
          <w:rFonts w:hint="cs"/>
          <w:rtl/>
        </w:rPr>
        <w:t xml:space="preserve">ولی </w:t>
      </w:r>
      <w:r w:rsidR="00AF68A6">
        <w:rPr>
          <w:rFonts w:hint="cs"/>
          <w:rtl/>
        </w:rPr>
        <w:t xml:space="preserve">نمی‌دانم </w:t>
      </w:r>
      <w:r w:rsidR="00CA2F5B">
        <w:rPr>
          <w:rFonts w:hint="cs"/>
          <w:rtl/>
        </w:rPr>
        <w:t xml:space="preserve">کار را </w:t>
      </w:r>
      <w:r w:rsidR="00AF68A6">
        <w:rPr>
          <w:rFonts w:hint="cs"/>
          <w:rtl/>
        </w:rPr>
        <w:t>به کجا رسانده</w:t>
      </w:r>
      <w:r w:rsidR="00CA2F5B">
        <w:rPr>
          <w:rFonts w:hint="cs"/>
          <w:rtl/>
        </w:rPr>
        <w:t xml:space="preserve"> است</w:t>
      </w:r>
      <w:r w:rsidR="00AF68A6">
        <w:rPr>
          <w:rFonts w:hint="cs"/>
          <w:rtl/>
        </w:rPr>
        <w:t xml:space="preserve">، چون کارهای دیگری </w:t>
      </w:r>
      <w:r w:rsidR="00CA2F5B">
        <w:rPr>
          <w:rFonts w:hint="cs"/>
          <w:rtl/>
        </w:rPr>
        <w:t>هم</w:t>
      </w:r>
      <w:r w:rsidR="00AF68A6">
        <w:rPr>
          <w:rFonts w:hint="cs"/>
          <w:rtl/>
        </w:rPr>
        <w:t xml:space="preserve"> در کنار این کار شروع کرد و خیلی زحمت کشیده</w:t>
      </w:r>
      <w:r w:rsidR="00CA2F5B">
        <w:rPr>
          <w:rFonts w:hint="cs"/>
          <w:rtl/>
        </w:rPr>
        <w:t xml:space="preserve"> است</w:t>
      </w:r>
      <w:r w:rsidR="00AF68A6">
        <w:rPr>
          <w:rFonts w:hint="cs"/>
          <w:rtl/>
        </w:rPr>
        <w:t xml:space="preserve">. من از ایشان شنیدم می‌گفت خیلی جاها پیداست که شیخ طوسی از وزیر مغربی </w:t>
      </w:r>
      <w:r w:rsidR="00CA2F5B">
        <w:rPr>
          <w:rFonts w:hint="cs"/>
          <w:rtl/>
        </w:rPr>
        <w:t>اخذ کرده است</w:t>
      </w:r>
      <w:r w:rsidR="00AF68A6">
        <w:rPr>
          <w:rFonts w:hint="cs"/>
          <w:rtl/>
        </w:rPr>
        <w:t xml:space="preserve">. </w:t>
      </w:r>
      <w:r w:rsidR="00CA2F5B">
        <w:rPr>
          <w:rFonts w:hint="cs"/>
          <w:rtl/>
        </w:rPr>
        <w:t xml:space="preserve">برخی موارد به شکل صریح در تبیان ذکر شده است که سابقاً در یکی از مقالاتم آن را جمع </w:t>
      </w:r>
      <w:r w:rsidR="008029E4">
        <w:rPr>
          <w:rFonts w:hint="cs"/>
          <w:rtl/>
        </w:rPr>
        <w:t>نموده</w:t>
      </w:r>
      <w:r w:rsidR="00CA2F5B">
        <w:rPr>
          <w:rFonts w:hint="cs"/>
          <w:rtl/>
        </w:rPr>
        <w:t xml:space="preserve"> و ذکر نموده بودم. از آقای کریمی‌نیا شنیدم که می‌گفت غیر از مواردی که در تبیان تصریح شده، موارد دیگری هم وجود دارد که روشن است از وزیر مغربی اخذ کرده است.</w:t>
      </w:r>
    </w:p>
    <w:p w14:paraId="1FD5CD77" w14:textId="0C38F8EC" w:rsidR="00CA2F5B" w:rsidRDefault="00CA2F5B" w:rsidP="00C70D2F">
      <w:pPr>
        <w:jc w:val="both"/>
        <w:rPr>
          <w:rtl/>
        </w:rPr>
      </w:pPr>
      <w:r>
        <w:rPr>
          <w:rFonts w:hint="cs"/>
          <w:rtl/>
        </w:rPr>
        <w:t>مقصود آن‌که، این بخش از عبارت شیخ که در نظر داریم نیز از همین موارد است</w:t>
      </w:r>
      <w:r w:rsidR="00AF68A6">
        <w:rPr>
          <w:rFonts w:hint="cs"/>
          <w:rtl/>
        </w:rPr>
        <w:t xml:space="preserve"> چون </w:t>
      </w:r>
      <w:r>
        <w:rPr>
          <w:rFonts w:hint="cs"/>
          <w:rtl/>
        </w:rPr>
        <w:t xml:space="preserve">ساختار مطلب، با ساختار مطالب </w:t>
      </w:r>
      <w:r w:rsidR="00AF68A6">
        <w:rPr>
          <w:rFonts w:hint="cs"/>
          <w:rtl/>
        </w:rPr>
        <w:t>شیخ طوسی تفاوت دارد</w:t>
      </w:r>
      <w:r>
        <w:rPr>
          <w:rFonts w:hint="cs"/>
          <w:rtl/>
        </w:rPr>
        <w:t xml:space="preserve">. شیخ طوسی به طور معمول وارد چنین جزئیاتی نمی‌شود </w:t>
      </w:r>
      <w:r w:rsidR="002E1365">
        <w:rPr>
          <w:rFonts w:hint="cs"/>
          <w:rtl/>
        </w:rPr>
        <w:t>مگر آن که از شخص دیگری گرفته باشد.</w:t>
      </w:r>
    </w:p>
    <w:p w14:paraId="1B7D068B" w14:textId="77777777" w:rsidR="00CA2F5B" w:rsidRDefault="00CA2F5B" w:rsidP="00C70D2F">
      <w:pPr>
        <w:jc w:val="both"/>
        <w:rPr>
          <w:rtl/>
        </w:rPr>
      </w:pPr>
      <w:r>
        <w:rPr>
          <w:rFonts w:hint="cs"/>
          <w:rtl/>
        </w:rPr>
        <w:t>به هر حال معانی مختلفی که ابن فارس آن‌ها را به عنوان چند معنای مستقل ذکر نموده، شیخ طوسی قصد دارد به شکلی به یک معنا بازگرداند و آن یک معنا عبارتست از «طلب و فرمان».</w:t>
      </w:r>
    </w:p>
    <w:p w14:paraId="34B66C2B" w14:textId="5287C316" w:rsidR="00B924EC" w:rsidRDefault="00CA2F5B" w:rsidP="00C70D2F">
      <w:pPr>
        <w:jc w:val="both"/>
        <w:rPr>
          <w:rtl/>
        </w:rPr>
      </w:pPr>
      <w:r>
        <w:rPr>
          <w:rFonts w:hint="cs"/>
          <w:rtl/>
        </w:rPr>
        <w:t xml:space="preserve">برای نمونه </w:t>
      </w:r>
      <w:r w:rsidR="00AF68A6">
        <w:rPr>
          <w:rFonts w:hint="cs"/>
          <w:rtl/>
        </w:rPr>
        <w:t>ایشان می‌گوید</w:t>
      </w:r>
      <w:r>
        <w:rPr>
          <w:rFonts w:hint="cs"/>
          <w:rtl/>
        </w:rPr>
        <w:t>:</w:t>
      </w:r>
      <w:r w:rsidR="00AF68A6">
        <w:rPr>
          <w:rFonts w:hint="cs"/>
          <w:rtl/>
        </w:rPr>
        <w:t xml:space="preserve"> </w:t>
      </w:r>
      <w:r w:rsidR="00B924EC" w:rsidRPr="00B924EC">
        <w:rPr>
          <w:rFonts w:hint="cs"/>
          <w:color w:val="000080"/>
          <w:rtl/>
        </w:rPr>
        <w:t>«</w:t>
      </w:r>
      <w:r w:rsidR="00B924EC" w:rsidRPr="00B924EC">
        <w:rPr>
          <w:color w:val="000080"/>
          <w:rtl/>
        </w:rPr>
        <w:t>و (الإمر) مأخوذ من الأمر، لأنه الفاسد الذي يحتاج أن يؤمر بتركه الى الصلاح‏</w:t>
      </w:r>
      <w:r w:rsidR="00B924EC" w:rsidRPr="00B924EC">
        <w:rPr>
          <w:rFonts w:hint="cs"/>
          <w:color w:val="000080"/>
          <w:rtl/>
        </w:rPr>
        <w:t>»</w:t>
      </w:r>
      <w:r w:rsidR="00B924EC">
        <w:rPr>
          <w:rStyle w:val="FootnoteReference"/>
          <w:color w:val="000080"/>
          <w:rtl/>
        </w:rPr>
        <w:footnoteReference w:id="2"/>
      </w:r>
    </w:p>
    <w:p w14:paraId="661D9294" w14:textId="0B3E0CE4" w:rsidR="00B924EC" w:rsidRDefault="00B924EC" w:rsidP="00C70D2F">
      <w:pPr>
        <w:jc w:val="both"/>
        <w:rPr>
          <w:rtl/>
        </w:rPr>
      </w:pPr>
      <w:r>
        <w:rPr>
          <w:rFonts w:hint="cs"/>
          <w:rtl/>
        </w:rPr>
        <w:t>البته برخی إ</w:t>
      </w:r>
      <w:r w:rsidR="008029E4">
        <w:rPr>
          <w:rFonts w:hint="cs"/>
          <w:rtl/>
        </w:rPr>
        <w:t>ِ</w:t>
      </w:r>
      <w:r>
        <w:rPr>
          <w:rFonts w:hint="cs"/>
          <w:rtl/>
        </w:rPr>
        <w:t>مر را به معنای شیء عجیب گرفته بودند ولی مرحوم شیخ طوسی می‌فرماید إمر به معنای شیئی است که منکر بوده و باید ترک شود: «</w:t>
      </w:r>
      <w:r w:rsidR="00AF68A6">
        <w:rPr>
          <w:rFonts w:hint="cs"/>
          <w:rtl/>
        </w:rPr>
        <w:t>یحتاج ان یومر بترکه الی الصلاح</w:t>
      </w:r>
      <w:r>
        <w:rPr>
          <w:rFonts w:hint="cs"/>
          <w:rtl/>
        </w:rPr>
        <w:t>». بدین ترتیب إمر را به معنای دستور و فرمان بازگردانده است.</w:t>
      </w:r>
    </w:p>
    <w:p w14:paraId="39B612FA" w14:textId="5BB6CF7E" w:rsidR="00B924EC" w:rsidRDefault="00B924EC" w:rsidP="00C70D2F">
      <w:pPr>
        <w:jc w:val="both"/>
        <w:rPr>
          <w:rtl/>
        </w:rPr>
      </w:pPr>
      <w:r>
        <w:rPr>
          <w:rFonts w:hint="cs"/>
          <w:rtl/>
        </w:rPr>
        <w:t>ولی همانطور که پیداست در اینگونه تفسیرات، تکلف بسیاری وجود دارد. البته مرحوم شیخ در ادامه تعبیر «رجلٌ اِمَّر» را به معنای دستور و فرمان بازگشت داده که درست است چون این تعبیر از قدیم در کتب لغت به همین معنا گرفته شده است؛ یعنی رجلی که دائماً دستور می‌خواهد و خودش مستقیماً کار نمی‌کند. مرحوم شیخ فرموده است:</w:t>
      </w:r>
    </w:p>
    <w:p w14:paraId="57BB7114" w14:textId="644843BA" w:rsidR="00B924EC" w:rsidRPr="00B924EC" w:rsidRDefault="00B924EC" w:rsidP="00C70D2F">
      <w:pPr>
        <w:jc w:val="both"/>
        <w:rPr>
          <w:color w:val="000080"/>
          <w:rtl/>
        </w:rPr>
      </w:pPr>
      <w:r w:rsidRPr="00B924EC">
        <w:rPr>
          <w:rFonts w:hint="cs"/>
          <w:color w:val="000080"/>
          <w:rtl/>
        </w:rPr>
        <w:t>«</w:t>
      </w:r>
      <w:r w:rsidRPr="00B924EC">
        <w:rPr>
          <w:color w:val="000080"/>
          <w:rtl/>
        </w:rPr>
        <w:t>و منه رجل إم</w:t>
      </w:r>
      <w:r w:rsidRPr="00B924EC">
        <w:rPr>
          <w:rFonts w:hint="cs"/>
          <w:color w:val="000080"/>
          <w:rtl/>
        </w:rPr>
        <w:t>َّ</w:t>
      </w:r>
      <w:r w:rsidRPr="00B924EC">
        <w:rPr>
          <w:color w:val="000080"/>
          <w:rtl/>
        </w:rPr>
        <w:t>ر إذا كان ضعيف الرأي، لأنه يحتاج أن يؤمر حتى يقوي رأيه‏</w:t>
      </w:r>
      <w:r w:rsidRPr="00B924EC">
        <w:rPr>
          <w:rFonts w:hint="cs"/>
          <w:color w:val="000080"/>
          <w:rtl/>
        </w:rPr>
        <w:t>»</w:t>
      </w:r>
      <w:r>
        <w:rPr>
          <w:rStyle w:val="FootnoteReference"/>
          <w:color w:val="000080"/>
          <w:rtl/>
        </w:rPr>
        <w:footnoteReference w:id="3"/>
      </w:r>
    </w:p>
    <w:p w14:paraId="78304783" w14:textId="14D56FD7" w:rsidR="00B924EC" w:rsidRDefault="00B924EC" w:rsidP="00C70D2F">
      <w:pPr>
        <w:jc w:val="both"/>
        <w:rPr>
          <w:rtl/>
        </w:rPr>
      </w:pPr>
      <w:r>
        <w:rPr>
          <w:rFonts w:hint="cs"/>
          <w:rtl/>
        </w:rPr>
        <w:t>اما در ادامه مطلب عجیبی را متذکر شده و می‌فرماید:</w:t>
      </w:r>
    </w:p>
    <w:p w14:paraId="3AFE5E91" w14:textId="4C937D6B" w:rsidR="00B924EC" w:rsidRPr="00B924EC" w:rsidRDefault="00B924EC" w:rsidP="00C70D2F">
      <w:pPr>
        <w:jc w:val="both"/>
        <w:rPr>
          <w:color w:val="000080"/>
          <w:rtl/>
        </w:rPr>
      </w:pPr>
      <w:r w:rsidRPr="00B924EC">
        <w:rPr>
          <w:rFonts w:hint="cs"/>
          <w:color w:val="000080"/>
          <w:rtl/>
        </w:rPr>
        <w:t>«</w:t>
      </w:r>
      <w:r w:rsidR="00AF68A6" w:rsidRPr="00B924EC">
        <w:rPr>
          <w:rFonts w:hint="cs"/>
          <w:color w:val="000080"/>
          <w:rtl/>
        </w:rPr>
        <w:t>و منه آم</w:t>
      </w:r>
      <w:r w:rsidR="002E1365">
        <w:rPr>
          <w:rFonts w:hint="cs"/>
          <w:color w:val="000080"/>
          <w:rtl/>
        </w:rPr>
        <w:t>َ</w:t>
      </w:r>
      <w:r w:rsidR="00AF68A6" w:rsidRPr="00B924EC">
        <w:rPr>
          <w:rFonts w:hint="cs"/>
          <w:color w:val="000080"/>
          <w:rtl/>
        </w:rPr>
        <w:t>ر</w:t>
      </w:r>
      <w:r w:rsidR="002E1365">
        <w:rPr>
          <w:rFonts w:hint="cs"/>
          <w:color w:val="000080"/>
          <w:rtl/>
        </w:rPr>
        <w:t>َ</w:t>
      </w:r>
      <w:r w:rsidR="00AF68A6" w:rsidRPr="00B924EC">
        <w:rPr>
          <w:rFonts w:hint="cs"/>
          <w:color w:val="000080"/>
          <w:rtl/>
        </w:rPr>
        <w:t xml:space="preserve"> القوم اذا کثروا حتی احتاجوا الی من یامرهم و ینهاهم</w:t>
      </w:r>
      <w:r w:rsidRPr="00B924EC">
        <w:rPr>
          <w:rFonts w:hint="cs"/>
          <w:color w:val="000080"/>
          <w:rtl/>
        </w:rPr>
        <w:t>»</w:t>
      </w:r>
      <w:r>
        <w:rPr>
          <w:rStyle w:val="FootnoteReference"/>
          <w:color w:val="000080"/>
          <w:rtl/>
        </w:rPr>
        <w:footnoteReference w:id="4"/>
      </w:r>
    </w:p>
    <w:p w14:paraId="48417898" w14:textId="164209B1" w:rsidR="002229D5" w:rsidRDefault="002229D5" w:rsidP="00C70D2F">
      <w:pPr>
        <w:jc w:val="both"/>
        <w:rPr>
          <w:rtl/>
        </w:rPr>
      </w:pPr>
      <w:r>
        <w:rPr>
          <w:rFonts w:hint="cs"/>
          <w:rtl/>
        </w:rPr>
        <w:lastRenderedPageBreak/>
        <w:t xml:space="preserve">به گفتۀ ابن فارس، یکی از 5 اصل معنایی مادۀ امر، </w:t>
      </w:r>
      <w:r w:rsidR="00AF68A6">
        <w:rPr>
          <w:rFonts w:hint="cs"/>
          <w:rtl/>
        </w:rPr>
        <w:t>نُمُوّ و برکت</w:t>
      </w:r>
      <w:r w:rsidR="002E1365">
        <w:rPr>
          <w:rFonts w:hint="cs"/>
          <w:rtl/>
        </w:rPr>
        <w:t xml:space="preserve"> و کثرت</w:t>
      </w:r>
      <w:r w:rsidR="00AF68A6">
        <w:rPr>
          <w:rFonts w:hint="cs"/>
          <w:rtl/>
        </w:rPr>
        <w:t xml:space="preserve"> است. </w:t>
      </w:r>
      <w:r>
        <w:rPr>
          <w:rFonts w:hint="cs"/>
          <w:rtl/>
        </w:rPr>
        <w:t>مرحوم شیخ طوسی در عبارت ف</w:t>
      </w:r>
      <w:r w:rsidR="000F348A">
        <w:rPr>
          <w:rFonts w:hint="cs"/>
          <w:rtl/>
        </w:rPr>
        <w:t>و</w:t>
      </w:r>
      <w:r>
        <w:rPr>
          <w:rFonts w:hint="cs"/>
          <w:rtl/>
        </w:rPr>
        <w:t>ق سعی دارد کثرت و نماء را به امر طلبی بازگرداند. اما لازم نیست فاعل أمر حتماً قوم باشد؛ در کتب لغت نیز، تعبیر «</w:t>
      </w:r>
      <w:r w:rsidR="00AF68A6">
        <w:rPr>
          <w:rFonts w:hint="cs"/>
          <w:rtl/>
        </w:rPr>
        <w:t>اَمَرَ الشیء اذا کَثُر</w:t>
      </w:r>
      <w:r>
        <w:rPr>
          <w:rFonts w:hint="cs"/>
          <w:rtl/>
        </w:rPr>
        <w:t>« بیان شده است.</w:t>
      </w:r>
      <w:r w:rsidR="00AF68A6">
        <w:rPr>
          <w:rFonts w:hint="cs"/>
          <w:rtl/>
        </w:rPr>
        <w:t xml:space="preserve"> </w:t>
      </w:r>
      <w:r>
        <w:rPr>
          <w:rFonts w:hint="cs"/>
          <w:rtl/>
        </w:rPr>
        <w:t>برای مثال در</w:t>
      </w:r>
      <w:r w:rsidR="00AF68A6">
        <w:rPr>
          <w:rFonts w:hint="cs"/>
          <w:rtl/>
        </w:rPr>
        <w:t xml:space="preserve"> کتاب العین</w:t>
      </w:r>
      <w:r>
        <w:rPr>
          <w:rFonts w:hint="cs"/>
          <w:rtl/>
        </w:rPr>
        <w:t xml:space="preserve"> چنین آمده است:</w:t>
      </w:r>
    </w:p>
    <w:p w14:paraId="2CF41A7F" w14:textId="78F6D58E" w:rsidR="002229D5" w:rsidRDefault="002229D5" w:rsidP="00C70D2F">
      <w:pPr>
        <w:jc w:val="both"/>
        <w:rPr>
          <w:rtl/>
        </w:rPr>
      </w:pPr>
      <w:r w:rsidRPr="002229D5">
        <w:rPr>
          <w:rFonts w:hint="cs"/>
          <w:color w:val="000080"/>
          <w:rtl/>
        </w:rPr>
        <w:t>«</w:t>
      </w:r>
      <w:r w:rsidR="009B28BA" w:rsidRPr="009B28BA">
        <w:rPr>
          <w:color w:val="000080"/>
          <w:rtl/>
        </w:rPr>
        <w:t>أَمِرَ الشي‏ء، أي: كثر</w:t>
      </w:r>
      <w:r w:rsidRPr="002229D5">
        <w:rPr>
          <w:rFonts w:hint="cs"/>
          <w:color w:val="000080"/>
          <w:rtl/>
        </w:rPr>
        <w:t>»</w:t>
      </w:r>
      <w:r w:rsidR="009B28BA">
        <w:rPr>
          <w:rStyle w:val="FootnoteReference"/>
          <w:color w:val="000080"/>
          <w:rtl/>
        </w:rPr>
        <w:footnoteReference w:id="5"/>
      </w:r>
      <w:r>
        <w:rPr>
          <w:rFonts w:hint="cs"/>
          <w:rtl/>
        </w:rPr>
        <w:t>؛ بنابراین</w:t>
      </w:r>
      <w:r w:rsidR="00AF68A6">
        <w:rPr>
          <w:rFonts w:hint="cs"/>
          <w:rtl/>
        </w:rPr>
        <w:t xml:space="preserve"> لازم نیست </w:t>
      </w:r>
      <w:r>
        <w:rPr>
          <w:rFonts w:hint="cs"/>
          <w:rtl/>
        </w:rPr>
        <w:t xml:space="preserve">فاعلش </w:t>
      </w:r>
      <w:r w:rsidR="00AF68A6">
        <w:rPr>
          <w:rFonts w:hint="cs"/>
          <w:rtl/>
        </w:rPr>
        <w:t xml:space="preserve">قوم باشد </w:t>
      </w:r>
      <w:r>
        <w:rPr>
          <w:rFonts w:hint="cs"/>
          <w:rtl/>
        </w:rPr>
        <w:t>تا</w:t>
      </w:r>
      <w:r w:rsidR="00AF68A6">
        <w:rPr>
          <w:rFonts w:hint="cs"/>
          <w:rtl/>
        </w:rPr>
        <w:t xml:space="preserve"> بگوییم کثرت</w:t>
      </w:r>
      <w:r w:rsidR="009B28BA">
        <w:rPr>
          <w:rFonts w:hint="cs"/>
          <w:rtl/>
        </w:rPr>
        <w:t>،</w:t>
      </w:r>
      <w:r w:rsidR="00AF68A6">
        <w:rPr>
          <w:rFonts w:hint="cs"/>
          <w:rtl/>
        </w:rPr>
        <w:t xml:space="preserve"> مساوق </w:t>
      </w:r>
      <w:r>
        <w:rPr>
          <w:rFonts w:hint="cs"/>
          <w:rtl/>
        </w:rPr>
        <w:t>آن است که به کسی نیازمند شدند که امر و نهیشان کند.</w:t>
      </w:r>
    </w:p>
    <w:p w14:paraId="1D9FCCB4" w14:textId="31B88804" w:rsidR="00AF68A6" w:rsidRPr="00CE465E" w:rsidRDefault="00AF68A6" w:rsidP="00C70D2F">
      <w:pPr>
        <w:jc w:val="both"/>
        <w:rPr>
          <w:rtl/>
        </w:rPr>
      </w:pPr>
      <w:r w:rsidRPr="00CE465E">
        <w:rPr>
          <w:rFonts w:hint="cs"/>
          <w:b/>
          <w:bCs/>
          <w:rtl/>
        </w:rPr>
        <w:t>شاگرد:</w:t>
      </w:r>
      <w:r w:rsidRPr="00CE465E">
        <w:rPr>
          <w:rFonts w:hint="cs"/>
          <w:rtl/>
        </w:rPr>
        <w:t xml:space="preserve"> </w:t>
      </w:r>
      <w:r>
        <w:rPr>
          <w:rFonts w:hint="cs"/>
          <w:rtl/>
        </w:rPr>
        <w:t>در</w:t>
      </w:r>
      <w:r w:rsidR="009B28BA">
        <w:rPr>
          <w:rFonts w:hint="cs"/>
          <w:rtl/>
        </w:rPr>
        <w:t xml:space="preserve"> آیۀ</w:t>
      </w:r>
      <w:r>
        <w:rPr>
          <w:rFonts w:hint="cs"/>
          <w:rtl/>
        </w:rPr>
        <w:t xml:space="preserve">  </w:t>
      </w:r>
      <w:r w:rsidR="009B28BA">
        <w:rPr>
          <w:color w:val="007200"/>
          <w:rtl/>
        </w:rPr>
        <w:t>﴿وَ إِذا أَرَدْنا أَنْ نُهْلِكَ قَرْيَةً أَمَرْنا مُتْرَفيها﴾</w:t>
      </w:r>
      <w:r w:rsidR="009B28BA">
        <w:rPr>
          <w:rStyle w:val="FootnoteReference"/>
          <w:color w:val="007200"/>
          <w:rtl/>
        </w:rPr>
        <w:footnoteReference w:id="6"/>
      </w:r>
      <w:r>
        <w:rPr>
          <w:rFonts w:hint="cs"/>
          <w:rtl/>
        </w:rPr>
        <w:t xml:space="preserve"> یکی از قرائ</w:t>
      </w:r>
      <w:r w:rsidR="009B28BA">
        <w:rPr>
          <w:rFonts w:hint="cs"/>
          <w:rtl/>
        </w:rPr>
        <w:t>ت‌های «أمرنا»، «</w:t>
      </w:r>
      <w:r>
        <w:rPr>
          <w:rFonts w:hint="cs"/>
          <w:rtl/>
        </w:rPr>
        <w:t>آمرنا</w:t>
      </w:r>
      <w:r w:rsidR="009B28BA">
        <w:rPr>
          <w:rFonts w:hint="cs"/>
          <w:rtl/>
        </w:rPr>
        <w:t>» ذکر شده است.</w:t>
      </w:r>
    </w:p>
    <w:p w14:paraId="4B2CCF88" w14:textId="7E7A806C" w:rsidR="009B28BA" w:rsidRDefault="00AF68A6" w:rsidP="00C70D2F">
      <w:pPr>
        <w:jc w:val="both"/>
        <w:rPr>
          <w:rtl/>
        </w:rPr>
      </w:pPr>
      <w:r w:rsidRPr="00CE465E">
        <w:rPr>
          <w:rFonts w:hint="cs"/>
          <w:b/>
          <w:bCs/>
          <w:rtl/>
        </w:rPr>
        <w:t>استاد:</w:t>
      </w:r>
      <w:r w:rsidRPr="00CE465E">
        <w:rPr>
          <w:rFonts w:hint="cs"/>
          <w:rtl/>
        </w:rPr>
        <w:t xml:space="preserve"> </w:t>
      </w:r>
      <w:r w:rsidR="009B28BA">
        <w:rPr>
          <w:rFonts w:hint="cs"/>
          <w:rtl/>
        </w:rPr>
        <w:t>اگر چنین باشد «</w:t>
      </w:r>
      <w:r>
        <w:rPr>
          <w:rFonts w:hint="cs"/>
          <w:rtl/>
        </w:rPr>
        <w:t>آمرنا</w:t>
      </w:r>
      <w:r w:rsidR="009B28BA">
        <w:rPr>
          <w:rFonts w:hint="cs"/>
          <w:rtl/>
        </w:rPr>
        <w:t xml:space="preserve"> مترفیها»</w:t>
      </w:r>
      <w:r>
        <w:rPr>
          <w:rFonts w:hint="cs"/>
          <w:rtl/>
        </w:rPr>
        <w:t xml:space="preserve"> یعنی </w:t>
      </w:r>
      <w:r w:rsidR="009B28BA">
        <w:rPr>
          <w:rFonts w:hint="cs"/>
          <w:rtl/>
        </w:rPr>
        <w:t>«</w:t>
      </w:r>
      <w:r>
        <w:rPr>
          <w:rFonts w:hint="cs"/>
          <w:rtl/>
        </w:rPr>
        <w:t>کثّرنا مترفیها</w:t>
      </w:r>
      <w:r w:rsidR="009B28BA">
        <w:rPr>
          <w:rFonts w:hint="cs"/>
          <w:rtl/>
        </w:rPr>
        <w:t>»</w:t>
      </w:r>
      <w:r>
        <w:rPr>
          <w:rFonts w:hint="cs"/>
          <w:rtl/>
        </w:rPr>
        <w:t xml:space="preserve">. </w:t>
      </w:r>
      <w:r w:rsidR="009B28BA">
        <w:rPr>
          <w:rFonts w:hint="cs"/>
          <w:rtl/>
        </w:rPr>
        <w:t>حال ممکن است</w:t>
      </w:r>
      <w:r>
        <w:rPr>
          <w:rFonts w:hint="cs"/>
          <w:rtl/>
        </w:rPr>
        <w:t xml:space="preserve"> بگوییم </w:t>
      </w:r>
      <w:r w:rsidR="009B28BA">
        <w:rPr>
          <w:rFonts w:hint="cs"/>
          <w:rtl/>
        </w:rPr>
        <w:t>«</w:t>
      </w:r>
      <w:r>
        <w:rPr>
          <w:rFonts w:hint="cs"/>
          <w:rtl/>
        </w:rPr>
        <w:t>کثّرنا مترفیها</w:t>
      </w:r>
      <w:r w:rsidR="009B28BA">
        <w:rPr>
          <w:rFonts w:hint="cs"/>
          <w:rtl/>
        </w:rPr>
        <w:t>»</w:t>
      </w:r>
      <w:r>
        <w:rPr>
          <w:rFonts w:hint="cs"/>
          <w:rtl/>
        </w:rPr>
        <w:t xml:space="preserve"> </w:t>
      </w:r>
      <w:r w:rsidR="002E1365">
        <w:rPr>
          <w:rFonts w:hint="cs"/>
          <w:rtl/>
        </w:rPr>
        <w:t>یعنی</w:t>
      </w:r>
      <w:r w:rsidR="009B28BA">
        <w:rPr>
          <w:rFonts w:hint="cs"/>
          <w:rtl/>
        </w:rPr>
        <w:t xml:space="preserve"> زیادشان </w:t>
      </w:r>
      <w:r w:rsidR="002E1365">
        <w:rPr>
          <w:rFonts w:hint="cs"/>
          <w:rtl/>
        </w:rPr>
        <w:t>کردیم</w:t>
      </w:r>
      <w:r w:rsidR="009B28BA">
        <w:rPr>
          <w:rFonts w:hint="cs"/>
          <w:rtl/>
        </w:rPr>
        <w:t xml:space="preserve">؛ </w:t>
      </w:r>
      <w:r>
        <w:rPr>
          <w:rFonts w:hint="cs"/>
          <w:rtl/>
        </w:rPr>
        <w:t>وقتی زیاد شدند آم</w:t>
      </w:r>
      <w:r w:rsidR="009B28BA">
        <w:rPr>
          <w:rFonts w:hint="cs"/>
          <w:rtl/>
        </w:rPr>
        <w:t>ِ</w:t>
      </w:r>
      <w:r>
        <w:rPr>
          <w:rFonts w:hint="cs"/>
          <w:rtl/>
        </w:rPr>
        <w:t>ر می‌خواهند، رئیس می‌خواهند.</w:t>
      </w:r>
    </w:p>
    <w:p w14:paraId="7B491261" w14:textId="77777777" w:rsidR="009B28BA" w:rsidRDefault="009B28BA" w:rsidP="00C70D2F">
      <w:pPr>
        <w:jc w:val="both"/>
        <w:rPr>
          <w:rtl/>
        </w:rPr>
      </w:pPr>
      <w:r w:rsidRPr="009B28BA">
        <w:rPr>
          <w:rFonts w:hint="cs"/>
          <w:rtl/>
        </w:rPr>
        <w:t xml:space="preserve">مقصود آن‌که، </w:t>
      </w:r>
      <w:r w:rsidR="00AF68A6">
        <w:rPr>
          <w:rFonts w:hint="cs"/>
          <w:rtl/>
        </w:rPr>
        <w:t>فاعل اَمرَ لازم نیست انسان باشد تا بگوییم رئیس می‌خواهد. رئیس در مورد انسان‌هاست</w:t>
      </w:r>
      <w:r>
        <w:rPr>
          <w:rFonts w:hint="cs"/>
          <w:rtl/>
        </w:rPr>
        <w:t xml:space="preserve">. انسان است که آمر و ناهی </w:t>
      </w:r>
      <w:r w:rsidR="00AF68A6">
        <w:rPr>
          <w:rFonts w:hint="cs"/>
          <w:rtl/>
        </w:rPr>
        <w:t xml:space="preserve"> می‌خواهد</w:t>
      </w:r>
      <w:r>
        <w:rPr>
          <w:rFonts w:hint="cs"/>
          <w:rtl/>
        </w:rPr>
        <w:t>.</w:t>
      </w:r>
    </w:p>
    <w:p w14:paraId="167CE26B" w14:textId="07211BB8" w:rsidR="00AF68A6" w:rsidRPr="00CE465E" w:rsidRDefault="009B28BA" w:rsidP="00C70D2F">
      <w:pPr>
        <w:jc w:val="both"/>
        <w:rPr>
          <w:rtl/>
        </w:rPr>
      </w:pPr>
      <w:r w:rsidRPr="002229D5">
        <w:rPr>
          <w:rFonts w:hint="cs"/>
          <w:color w:val="000080"/>
          <w:rtl/>
        </w:rPr>
        <w:t>«</w:t>
      </w:r>
      <w:r w:rsidRPr="009B28BA">
        <w:rPr>
          <w:color w:val="000080"/>
          <w:rtl/>
        </w:rPr>
        <w:t>أَمِرَ الشي‏ء، أي: كثر</w:t>
      </w:r>
      <w:r w:rsidRPr="002229D5">
        <w:rPr>
          <w:rFonts w:hint="cs"/>
          <w:color w:val="000080"/>
          <w:rtl/>
        </w:rPr>
        <w:t>»</w:t>
      </w:r>
      <w:r>
        <w:rPr>
          <w:rStyle w:val="FootnoteReference"/>
          <w:color w:val="000080"/>
          <w:rtl/>
        </w:rPr>
        <w:footnoteReference w:id="7"/>
      </w:r>
      <w:r>
        <w:rPr>
          <w:rFonts w:hint="cs"/>
          <w:rtl/>
        </w:rPr>
        <w:t xml:space="preserve"> که در کتاب العین ذکر شده و «اَمَرَ» به معنای «کَثُرَ» دانسته شده، به چه اعتبار است؟ </w:t>
      </w:r>
      <w:r w:rsidR="00AF68A6">
        <w:rPr>
          <w:rFonts w:hint="cs"/>
          <w:rtl/>
        </w:rPr>
        <w:t>اگر انسان باشد</w:t>
      </w:r>
      <w:r>
        <w:rPr>
          <w:rFonts w:hint="cs"/>
          <w:rtl/>
        </w:rPr>
        <w:t xml:space="preserve"> می‌توان آن را به نحوی توجیه کرد. </w:t>
      </w:r>
      <w:r w:rsidR="00AF68A6">
        <w:rPr>
          <w:rFonts w:hint="cs"/>
          <w:rtl/>
        </w:rPr>
        <w:t>ابو عمر</w:t>
      </w:r>
      <w:r w:rsidR="000F348A">
        <w:rPr>
          <w:rFonts w:hint="cs"/>
          <w:rtl/>
        </w:rPr>
        <w:t>و</w:t>
      </w:r>
      <w:r w:rsidR="00AF68A6">
        <w:rPr>
          <w:rFonts w:hint="cs"/>
          <w:rtl/>
        </w:rPr>
        <w:t xml:space="preserve"> شیبانی </w:t>
      </w:r>
      <w:r>
        <w:rPr>
          <w:rFonts w:hint="cs"/>
          <w:rtl/>
        </w:rPr>
        <w:t>می‌گوید:</w:t>
      </w:r>
      <w:r w:rsidR="00AF68A6">
        <w:rPr>
          <w:rFonts w:hint="cs"/>
          <w:rtl/>
        </w:rPr>
        <w:t xml:space="preserve"> </w:t>
      </w:r>
      <w:r w:rsidRPr="009B28BA">
        <w:rPr>
          <w:rFonts w:hint="cs"/>
          <w:color w:val="000080"/>
          <w:rtl/>
        </w:rPr>
        <w:t>«</w:t>
      </w:r>
      <w:r w:rsidR="002D0225" w:rsidRPr="002D0225">
        <w:rPr>
          <w:color w:val="000080"/>
          <w:rtl/>
        </w:rPr>
        <w:t>و قال أبو عمرو: لا يقال: أمرت بالتخفيف في معنى كثّرت، و إنما يقال: أَمَّرْتُ و آمَرْتُ</w:t>
      </w:r>
      <w:r>
        <w:rPr>
          <w:rFonts w:hint="cs"/>
          <w:color w:val="000080"/>
          <w:rtl/>
        </w:rPr>
        <w:t>»</w:t>
      </w:r>
      <w:r w:rsidR="002D0225">
        <w:rPr>
          <w:rStyle w:val="FootnoteReference"/>
          <w:color w:val="000080"/>
          <w:rtl/>
        </w:rPr>
        <w:footnoteReference w:id="8"/>
      </w:r>
      <w:r w:rsidR="002D0225">
        <w:t xml:space="preserve"> </w:t>
      </w:r>
      <w:r w:rsidR="002E1365">
        <w:rPr>
          <w:rFonts w:hint="cs"/>
          <w:rtl/>
        </w:rPr>
        <w:t xml:space="preserve">کَثَّرتُ نیست </w:t>
      </w:r>
      <w:r w:rsidR="00AF68A6">
        <w:rPr>
          <w:rFonts w:hint="cs"/>
          <w:rtl/>
        </w:rPr>
        <w:t>ولی أَمِرَ به معنای کَثُر است.</w:t>
      </w:r>
    </w:p>
    <w:p w14:paraId="673DA926" w14:textId="66A15F38" w:rsidR="002D0225" w:rsidRDefault="00AF68A6" w:rsidP="00C70D2F">
      <w:pPr>
        <w:jc w:val="both"/>
        <w:rPr>
          <w:rtl/>
        </w:rPr>
      </w:pPr>
      <w:r w:rsidRPr="00CE465E">
        <w:rPr>
          <w:rFonts w:hint="cs"/>
          <w:b/>
          <w:bCs/>
          <w:rtl/>
        </w:rPr>
        <w:t>شاگرد:</w:t>
      </w:r>
      <w:r w:rsidRPr="00CE465E">
        <w:rPr>
          <w:rFonts w:hint="cs"/>
          <w:rtl/>
        </w:rPr>
        <w:t xml:space="preserve"> </w:t>
      </w:r>
      <w:r w:rsidR="002D0225">
        <w:rPr>
          <w:rFonts w:hint="cs"/>
          <w:rtl/>
        </w:rPr>
        <w:t xml:space="preserve">در </w:t>
      </w:r>
      <w:r w:rsidR="002E1365">
        <w:rPr>
          <w:rFonts w:hint="cs"/>
          <w:rtl/>
        </w:rPr>
        <w:t>عبارتی</w:t>
      </w:r>
      <w:r w:rsidR="002D0225">
        <w:rPr>
          <w:rFonts w:hint="cs"/>
          <w:rtl/>
        </w:rPr>
        <w:t xml:space="preserve"> گفته شده: </w:t>
      </w:r>
      <w:r w:rsidR="002D0225" w:rsidRPr="002D0225">
        <w:rPr>
          <w:rFonts w:hint="cs"/>
          <w:color w:val="000080"/>
          <w:rtl/>
        </w:rPr>
        <w:t>«</w:t>
      </w:r>
      <w:r w:rsidR="002D0225" w:rsidRPr="002D0225">
        <w:rPr>
          <w:color w:val="000080"/>
          <w:rtl/>
        </w:rPr>
        <w:t>قوله أمر ابن أبي كبشة أي عظم</w:t>
      </w:r>
      <w:r w:rsidR="002D0225" w:rsidRPr="002D0225">
        <w:rPr>
          <w:rFonts w:hint="cs"/>
          <w:color w:val="000080"/>
          <w:rtl/>
        </w:rPr>
        <w:t>»</w:t>
      </w:r>
      <w:r w:rsidR="002D0225">
        <w:rPr>
          <w:rStyle w:val="FootnoteReference"/>
          <w:color w:val="000080"/>
          <w:rtl/>
        </w:rPr>
        <w:footnoteReference w:id="9"/>
      </w:r>
      <w:r w:rsidR="002D0225">
        <w:rPr>
          <w:rFonts w:hint="cs"/>
          <w:color w:val="000080"/>
          <w:rtl/>
        </w:rPr>
        <w:t>.</w:t>
      </w:r>
    </w:p>
    <w:p w14:paraId="1F2B6D15" w14:textId="3BFFB742" w:rsidR="00AF68A6" w:rsidRPr="00CE465E" w:rsidRDefault="00AF68A6" w:rsidP="00C70D2F">
      <w:pPr>
        <w:jc w:val="both"/>
        <w:rPr>
          <w:rtl/>
        </w:rPr>
      </w:pPr>
      <w:r w:rsidRPr="00CE465E">
        <w:rPr>
          <w:rFonts w:hint="cs"/>
          <w:b/>
          <w:bCs/>
          <w:rtl/>
        </w:rPr>
        <w:t>شاگرد:</w:t>
      </w:r>
      <w:r w:rsidRPr="00CE465E">
        <w:rPr>
          <w:rFonts w:hint="cs"/>
          <w:rtl/>
        </w:rPr>
        <w:t xml:space="preserve"> </w:t>
      </w:r>
      <w:r>
        <w:rPr>
          <w:rFonts w:hint="cs"/>
          <w:rtl/>
        </w:rPr>
        <w:t xml:space="preserve">المحیط فی اللغة </w:t>
      </w:r>
      <w:r w:rsidR="002D0225">
        <w:rPr>
          <w:rFonts w:hint="cs"/>
          <w:rtl/>
        </w:rPr>
        <w:t xml:space="preserve">نیز به فرمایش شما </w:t>
      </w:r>
      <w:r>
        <w:rPr>
          <w:rFonts w:hint="cs"/>
          <w:rtl/>
        </w:rPr>
        <w:t>تصریح</w:t>
      </w:r>
      <w:r w:rsidR="002D0225">
        <w:rPr>
          <w:rFonts w:hint="cs"/>
          <w:rtl/>
        </w:rPr>
        <w:t xml:space="preserve"> نموده است:</w:t>
      </w:r>
      <w:r>
        <w:rPr>
          <w:rFonts w:hint="cs"/>
          <w:rtl/>
        </w:rPr>
        <w:t xml:space="preserve"> </w:t>
      </w:r>
      <w:r w:rsidR="002D0225" w:rsidRPr="002D0225">
        <w:rPr>
          <w:rFonts w:hint="cs"/>
          <w:color w:val="000080"/>
          <w:rtl/>
        </w:rPr>
        <w:t>«</w:t>
      </w:r>
      <w:r w:rsidRPr="002D0225">
        <w:rPr>
          <w:rFonts w:hint="cs"/>
          <w:color w:val="000080"/>
          <w:rtl/>
        </w:rPr>
        <w:t>امر الشیء و القوم</w:t>
      </w:r>
      <w:r w:rsidR="002D0225" w:rsidRPr="002D0225">
        <w:rPr>
          <w:rFonts w:hint="cs"/>
          <w:color w:val="000080"/>
          <w:rtl/>
        </w:rPr>
        <w:t>:</w:t>
      </w:r>
      <w:r w:rsidRPr="002D0225">
        <w:rPr>
          <w:rFonts w:hint="cs"/>
          <w:color w:val="000080"/>
          <w:rtl/>
        </w:rPr>
        <w:t xml:space="preserve"> کَثُر</w:t>
      </w:r>
      <w:r w:rsidR="002D0225" w:rsidRPr="002D0225">
        <w:rPr>
          <w:rFonts w:hint="cs"/>
          <w:color w:val="000080"/>
          <w:rtl/>
        </w:rPr>
        <w:t>وا»</w:t>
      </w:r>
      <w:r w:rsidR="002D0225">
        <w:rPr>
          <w:rStyle w:val="FootnoteReference"/>
          <w:color w:val="000080"/>
          <w:rtl/>
        </w:rPr>
        <w:footnoteReference w:id="10"/>
      </w:r>
    </w:p>
    <w:p w14:paraId="594CFABA" w14:textId="1587A1BC" w:rsidR="002B34D2" w:rsidRDefault="00AF68A6" w:rsidP="00C70D2F">
      <w:pPr>
        <w:jc w:val="both"/>
        <w:rPr>
          <w:rtl/>
        </w:rPr>
      </w:pPr>
      <w:r w:rsidRPr="00CE465E">
        <w:rPr>
          <w:rFonts w:hint="cs"/>
          <w:b/>
          <w:bCs/>
          <w:rtl/>
        </w:rPr>
        <w:t>استاد:</w:t>
      </w:r>
      <w:r w:rsidRPr="00CE465E">
        <w:rPr>
          <w:rFonts w:hint="cs"/>
          <w:rtl/>
        </w:rPr>
        <w:t xml:space="preserve"> </w:t>
      </w:r>
      <w:r w:rsidR="002B34D2">
        <w:rPr>
          <w:rFonts w:hint="cs"/>
          <w:rtl/>
        </w:rPr>
        <w:t xml:space="preserve">در این عبارت «امر» را به قوم اختصاص نداده و در مورد شیء هم به کار برده است. </w:t>
      </w:r>
      <w:r>
        <w:rPr>
          <w:rFonts w:hint="cs"/>
          <w:rtl/>
        </w:rPr>
        <w:t>تمایل</w:t>
      </w:r>
      <w:r w:rsidR="002B34D2">
        <w:rPr>
          <w:rFonts w:hint="cs"/>
          <w:rtl/>
        </w:rPr>
        <w:t>ی که نسبت به واحدسا</w:t>
      </w:r>
      <w:r w:rsidR="002E1365">
        <w:rPr>
          <w:rFonts w:hint="cs"/>
          <w:rtl/>
        </w:rPr>
        <w:t>ز</w:t>
      </w:r>
      <w:r w:rsidR="002B34D2">
        <w:rPr>
          <w:rFonts w:hint="cs"/>
          <w:rtl/>
        </w:rPr>
        <w:t>ی معنای متعدد وجود دارد، سبب می‌شود بدین شکل توجیه شود</w:t>
      </w:r>
      <w:r w:rsidR="002E1365">
        <w:rPr>
          <w:rFonts w:hint="cs"/>
          <w:rtl/>
        </w:rPr>
        <w:t>.</w:t>
      </w:r>
    </w:p>
    <w:p w14:paraId="0956165B" w14:textId="3CF4D90A" w:rsidR="002B34D2" w:rsidRPr="002B34D2" w:rsidRDefault="002B34D2" w:rsidP="00C70D2F">
      <w:pPr>
        <w:jc w:val="both"/>
        <w:rPr>
          <w:rtl/>
        </w:rPr>
      </w:pPr>
      <w:r w:rsidRPr="002B34D2">
        <w:rPr>
          <w:rFonts w:hint="cs"/>
          <w:rtl/>
        </w:rPr>
        <w:t xml:space="preserve">ادامۀ </w:t>
      </w:r>
      <w:r w:rsidR="000F348A">
        <w:rPr>
          <w:rFonts w:hint="cs"/>
          <w:rtl/>
        </w:rPr>
        <w:t xml:space="preserve">کلام </w:t>
      </w:r>
      <w:r>
        <w:rPr>
          <w:rFonts w:hint="cs"/>
          <w:rtl/>
        </w:rPr>
        <w:t>مرحوم شیخ از این قرار است:</w:t>
      </w:r>
    </w:p>
    <w:p w14:paraId="132C264B" w14:textId="32ABA746" w:rsidR="002B34D2" w:rsidRDefault="002B34D2" w:rsidP="00C70D2F">
      <w:pPr>
        <w:jc w:val="both"/>
        <w:rPr>
          <w:rtl/>
        </w:rPr>
      </w:pPr>
      <w:r w:rsidRPr="002B34D2">
        <w:rPr>
          <w:rFonts w:hint="cs"/>
          <w:color w:val="000080"/>
          <w:rtl/>
        </w:rPr>
        <w:t>«</w:t>
      </w:r>
      <w:r w:rsidRPr="002B34D2">
        <w:rPr>
          <w:color w:val="000080"/>
          <w:rtl/>
        </w:rPr>
        <w:t>و منه الأمر من الأمور أى الشي‏ء الذي من شأنه ان يؤمر فيه، و لهذا لم يكن كل شي‏ء أمر</w:t>
      </w:r>
      <w:r w:rsidR="002E1365">
        <w:rPr>
          <w:rFonts w:hint="cs"/>
          <w:color w:val="000080"/>
          <w:rtl/>
        </w:rPr>
        <w:t>اً</w:t>
      </w:r>
      <w:r>
        <w:rPr>
          <w:rFonts w:hint="cs"/>
          <w:color w:val="000080"/>
          <w:rtl/>
        </w:rPr>
        <w:t>»</w:t>
      </w:r>
      <w:r>
        <w:rPr>
          <w:rStyle w:val="FootnoteReference"/>
          <w:color w:val="000080"/>
          <w:rtl/>
        </w:rPr>
        <w:footnoteReference w:id="11"/>
      </w:r>
      <w:r w:rsidR="00AF68A6">
        <w:rPr>
          <w:rFonts w:hint="cs"/>
          <w:rtl/>
        </w:rPr>
        <w:t>.</w:t>
      </w:r>
    </w:p>
    <w:p w14:paraId="48F7004E" w14:textId="77777777" w:rsidR="002B34D2" w:rsidRDefault="002B34D2" w:rsidP="00C70D2F">
      <w:pPr>
        <w:jc w:val="both"/>
        <w:rPr>
          <w:rtl/>
        </w:rPr>
      </w:pPr>
      <w:r>
        <w:rPr>
          <w:rFonts w:hint="cs"/>
          <w:rtl/>
        </w:rPr>
        <w:t>مرحوم شیخ امر غیر طلبی را به معنای چیزی دانسته که شأنیت مأموربه واقع شدن را دارد؛ در نقطۀ مقابل محقق اصفهانی امر را به معنای آن چیزی دانسته است که شأنیت مراد بودن برای خداوند را دارد.</w:t>
      </w:r>
    </w:p>
    <w:p w14:paraId="4D40A137" w14:textId="527AEEDB" w:rsidR="002B0B60" w:rsidRDefault="002B0B60" w:rsidP="00C70D2F">
      <w:pPr>
        <w:jc w:val="both"/>
        <w:rPr>
          <w:rtl/>
        </w:rPr>
      </w:pPr>
      <w:r>
        <w:rPr>
          <w:rFonts w:hint="cs"/>
          <w:rtl/>
        </w:rPr>
        <w:t xml:space="preserve">فرمایش مرحوم شیخ طوسی قدری قابل درک است ولی </w:t>
      </w:r>
      <w:r w:rsidR="002B34D2">
        <w:rPr>
          <w:rFonts w:hint="cs"/>
          <w:rtl/>
        </w:rPr>
        <w:t xml:space="preserve">فرمایش محقق اصفهانی بسیار دور از واقع است. پیش‌تر به این نکته اشره کردیم که به کار برندۀ </w:t>
      </w:r>
      <w:r>
        <w:rPr>
          <w:rFonts w:hint="cs"/>
          <w:rtl/>
        </w:rPr>
        <w:t xml:space="preserve">لفظ امر _در جایی که واحد امور است_ لازم نیست به خدا و ارادۀ الهی اعتقاد داشته باشد؛ یا اگر </w:t>
      </w:r>
      <w:r>
        <w:rPr>
          <w:rFonts w:hint="cs"/>
          <w:rtl/>
        </w:rPr>
        <w:lastRenderedPageBreak/>
        <w:t>کسی به خداوند و ارادۀ الهی باورمند است، چنین نیست که به هنگام کاربست این واژه، لازم باشد به مراد خدا بودن توجه داشته باشد.</w:t>
      </w:r>
    </w:p>
    <w:p w14:paraId="022676AC" w14:textId="7E3D045D" w:rsidR="002B0B60" w:rsidRDefault="002B0B60" w:rsidP="00C70D2F">
      <w:pPr>
        <w:jc w:val="both"/>
        <w:rPr>
          <w:rtl/>
        </w:rPr>
      </w:pPr>
      <w:r>
        <w:rPr>
          <w:rFonts w:hint="cs"/>
          <w:rtl/>
        </w:rPr>
        <w:t xml:space="preserve">البته این امکان وجود دارد که امری که مفرد امور است، ابتدا به اعتبار این که مراد خداوند بوده، امر نامیده شده باشد، ولی آن ملاحظۀ اولیه پس از آن به فراموشی سپرده شده و به نحو تعیّنی برای معنای مورد نظر بدون لحاظ ارادۀ الهی، وضع شده باشد. این احتمال، از برخی از عبارت‌ها نیز استفاده می‌شود. در این عبارات، </w:t>
      </w:r>
      <w:r w:rsidR="00AF68A6">
        <w:rPr>
          <w:rFonts w:hint="cs"/>
          <w:rtl/>
        </w:rPr>
        <w:t>نمی‌خواهند بگویند امر</w:t>
      </w:r>
      <w:r>
        <w:rPr>
          <w:rFonts w:hint="cs"/>
          <w:rtl/>
        </w:rPr>
        <w:t xml:space="preserve">ی که مفرد </w:t>
      </w:r>
      <w:r w:rsidR="00AF68A6">
        <w:rPr>
          <w:rFonts w:hint="cs"/>
          <w:rtl/>
        </w:rPr>
        <w:t xml:space="preserve">امور </w:t>
      </w:r>
      <w:r>
        <w:rPr>
          <w:rFonts w:hint="cs"/>
          <w:rtl/>
        </w:rPr>
        <w:t xml:space="preserve">است </w:t>
      </w:r>
      <w:r w:rsidR="00AF68A6">
        <w:rPr>
          <w:rFonts w:hint="cs"/>
          <w:rtl/>
        </w:rPr>
        <w:t>و امر</w:t>
      </w:r>
      <w:r>
        <w:rPr>
          <w:rFonts w:hint="cs"/>
          <w:rtl/>
        </w:rPr>
        <w:t>ی</w:t>
      </w:r>
      <w:r w:rsidR="00AF68A6">
        <w:rPr>
          <w:rFonts w:hint="cs"/>
          <w:rtl/>
        </w:rPr>
        <w:t xml:space="preserve"> </w:t>
      </w:r>
      <w:r>
        <w:rPr>
          <w:rFonts w:hint="cs"/>
          <w:rtl/>
        </w:rPr>
        <w:t xml:space="preserve">که </w:t>
      </w:r>
      <w:r w:rsidR="00AF68A6">
        <w:rPr>
          <w:rFonts w:hint="cs"/>
          <w:rtl/>
        </w:rPr>
        <w:t xml:space="preserve">به معنای طلب </w:t>
      </w:r>
      <w:r>
        <w:rPr>
          <w:rFonts w:hint="cs"/>
          <w:rtl/>
        </w:rPr>
        <w:t>است، به یک معنا هستند. این‌ها می‌خواهند بگویند، امری که مفرد امور است، وضع تعیینی مستقل ندارد و در اصل برگرفته از امر طلبی است؛ ولی با این وجود مشترک لفظی بین دو معنا بوده و وضع تعیّنی در معنای دوم دارد.</w:t>
      </w:r>
    </w:p>
    <w:p w14:paraId="5BD07F1F" w14:textId="38FC8733" w:rsidR="00637604" w:rsidRDefault="002B0B60" w:rsidP="00C70D2F">
      <w:pPr>
        <w:jc w:val="both"/>
        <w:rPr>
          <w:rtl/>
        </w:rPr>
      </w:pPr>
      <w:r>
        <w:rPr>
          <w:rFonts w:hint="cs"/>
          <w:rtl/>
        </w:rPr>
        <w:t xml:space="preserve">این احتمالی است که به ذهن </w:t>
      </w:r>
      <w:r w:rsidR="004616EB">
        <w:rPr>
          <w:rFonts w:hint="cs"/>
          <w:rtl/>
        </w:rPr>
        <w:t>ما نیز</w:t>
      </w:r>
      <w:r>
        <w:rPr>
          <w:rFonts w:hint="cs"/>
          <w:rtl/>
        </w:rPr>
        <w:t xml:space="preserve"> رسیده بود و با صرف نظر از صحت و سقمش، به هر حال ارزش فکر کردن دارد.</w:t>
      </w:r>
      <w:r w:rsidR="00637604">
        <w:rPr>
          <w:rFonts w:hint="cs"/>
          <w:rtl/>
        </w:rPr>
        <w:t xml:space="preserve"> </w:t>
      </w:r>
      <w:r w:rsidR="00AF68A6">
        <w:rPr>
          <w:rFonts w:hint="cs"/>
          <w:rtl/>
        </w:rPr>
        <w:t xml:space="preserve">ولی </w:t>
      </w:r>
      <w:r w:rsidR="00637604">
        <w:rPr>
          <w:rFonts w:hint="cs"/>
          <w:rtl/>
        </w:rPr>
        <w:t>الآن بالفعل وقتی امر غیر طلبی را به کار می‌برید اصلاً به این اعتبار نیست که خدایی وجود دارد که امر می‌کند و این مأموربه خداست.</w:t>
      </w:r>
    </w:p>
    <w:p w14:paraId="3DE74B0A" w14:textId="4661E6BD" w:rsidR="00637604" w:rsidRDefault="00637604" w:rsidP="00C70D2F">
      <w:pPr>
        <w:jc w:val="both"/>
        <w:rPr>
          <w:rtl/>
        </w:rPr>
      </w:pPr>
      <w:r>
        <w:rPr>
          <w:rFonts w:hint="cs"/>
          <w:rtl/>
        </w:rPr>
        <w:t>عبارت مرحوم شیخ طوسی در کتاب مورد نظر در صفحۀ 109 ذکر شده است. پس از مرحوم شیخ طوسی زمخشری است که کلامش در صفحۀ 116 ذکر شده و با همان مطلبی که گفتیم سازگار است.</w:t>
      </w:r>
    </w:p>
    <w:p w14:paraId="2CF4C09F" w14:textId="35514E25" w:rsidR="00637604" w:rsidRDefault="00637604" w:rsidP="00C70D2F">
      <w:pPr>
        <w:jc w:val="both"/>
        <w:rPr>
          <w:rtl/>
        </w:rPr>
      </w:pPr>
      <w:r>
        <w:rPr>
          <w:rFonts w:hint="cs"/>
          <w:rtl/>
        </w:rPr>
        <w:t xml:space="preserve">زمخشری پس از آن که امر را چنین تفسیر می‌کند: </w:t>
      </w:r>
      <w:r w:rsidRPr="00637604">
        <w:rPr>
          <w:rFonts w:hint="cs"/>
          <w:color w:val="000080"/>
          <w:rtl/>
        </w:rPr>
        <w:t>«</w:t>
      </w:r>
      <w:r w:rsidR="00AF68A6" w:rsidRPr="00637604">
        <w:rPr>
          <w:rFonts w:hint="cs"/>
          <w:color w:val="000080"/>
          <w:rtl/>
        </w:rPr>
        <w:t>طلب الفعل ممن هو دونک و بعثه علیه</w:t>
      </w:r>
      <w:r w:rsidRPr="00637604">
        <w:rPr>
          <w:rFonts w:hint="cs"/>
          <w:color w:val="000080"/>
          <w:rtl/>
        </w:rPr>
        <w:t>»</w:t>
      </w:r>
      <w:r>
        <w:rPr>
          <w:rStyle w:val="FootnoteReference"/>
          <w:color w:val="000080"/>
          <w:rtl/>
        </w:rPr>
        <w:footnoteReference w:id="12"/>
      </w:r>
      <w:r>
        <w:rPr>
          <w:rFonts w:hint="cs"/>
          <w:rtl/>
        </w:rPr>
        <w:t xml:space="preserve"> می‌گوید: </w:t>
      </w:r>
      <w:r w:rsidRPr="00637604">
        <w:rPr>
          <w:rFonts w:hint="cs"/>
          <w:color w:val="000080"/>
          <w:rtl/>
        </w:rPr>
        <w:t>«</w:t>
      </w:r>
      <w:r w:rsidRPr="00637604">
        <w:rPr>
          <w:color w:val="000080"/>
          <w:rtl/>
        </w:rPr>
        <w:t>و به سمى الأمر الذي هو واحد الأمور؛ لأن الداعي الذي يدعو إليه من يتولاه ش</w:t>
      </w:r>
      <w:r w:rsidR="002E1365">
        <w:rPr>
          <w:rFonts w:hint="cs"/>
          <w:color w:val="000080"/>
          <w:rtl/>
        </w:rPr>
        <w:t>ُ</w:t>
      </w:r>
      <w:r w:rsidRPr="00637604">
        <w:rPr>
          <w:color w:val="000080"/>
          <w:rtl/>
        </w:rPr>
        <w:t>ب</w:t>
      </w:r>
      <w:r w:rsidR="002E1365">
        <w:rPr>
          <w:rFonts w:hint="cs"/>
          <w:color w:val="000080"/>
          <w:rtl/>
        </w:rPr>
        <w:t>ِّ</w:t>
      </w:r>
      <w:r w:rsidRPr="00637604">
        <w:rPr>
          <w:color w:val="000080"/>
          <w:rtl/>
        </w:rPr>
        <w:t>ه</w:t>
      </w:r>
      <w:r w:rsidR="002E1365">
        <w:rPr>
          <w:rFonts w:hint="cs"/>
          <w:color w:val="000080"/>
          <w:rtl/>
        </w:rPr>
        <w:t>ُ</w:t>
      </w:r>
      <w:r w:rsidRPr="00637604">
        <w:rPr>
          <w:color w:val="000080"/>
          <w:rtl/>
        </w:rPr>
        <w:t xml:space="preserve"> بآمر يأمره به، فقيل له: أمر، تسمية للمفعول به بالمصدر كأنه مأمور به، كما قيل له شأن. و الشأن: الطلب و القصد</w:t>
      </w:r>
      <w:r w:rsidRPr="00637604">
        <w:rPr>
          <w:rFonts w:hint="cs"/>
          <w:color w:val="000080"/>
          <w:rtl/>
        </w:rPr>
        <w:t>»</w:t>
      </w:r>
      <w:r>
        <w:rPr>
          <w:rStyle w:val="FootnoteReference"/>
          <w:color w:val="000080"/>
          <w:rtl/>
        </w:rPr>
        <w:footnoteReference w:id="13"/>
      </w:r>
      <w:r>
        <w:rPr>
          <w:rFonts w:hint="cs"/>
          <w:rtl/>
        </w:rPr>
        <w:t xml:space="preserve"> </w:t>
      </w:r>
    </w:p>
    <w:p w14:paraId="1AF2919A" w14:textId="3D55E9AB" w:rsidR="00637604" w:rsidRDefault="00637604" w:rsidP="00C70D2F">
      <w:pPr>
        <w:jc w:val="both"/>
        <w:rPr>
          <w:rtl/>
        </w:rPr>
      </w:pPr>
      <w:r>
        <w:rPr>
          <w:rFonts w:hint="cs"/>
          <w:rtl/>
        </w:rPr>
        <w:t>مستفاد از این عبارت آن است که امر غیر طلبی معنای جدیدی غیر از امر طلبی دارد ولی این معنای جدید از معنای قبلی گرفته شده است و چنین نیست</w:t>
      </w:r>
      <w:r w:rsidR="002E1365">
        <w:rPr>
          <w:rFonts w:hint="cs"/>
          <w:rtl/>
        </w:rPr>
        <w:t xml:space="preserve"> که</w:t>
      </w:r>
      <w:r>
        <w:rPr>
          <w:rFonts w:hint="cs"/>
          <w:rtl/>
        </w:rPr>
        <w:t xml:space="preserve"> وضع دوم از وضع اول مستقل باشد. این حرف، گفتنی است ولی فرمایش محقق اصفهانی از واقع</w:t>
      </w:r>
      <w:r w:rsidR="004616EB">
        <w:rPr>
          <w:rFonts w:hint="cs"/>
          <w:rtl/>
        </w:rPr>
        <w:t>یّت</w:t>
      </w:r>
      <w:r>
        <w:rPr>
          <w:rFonts w:hint="cs"/>
          <w:rtl/>
        </w:rPr>
        <w:t xml:space="preserve"> فاصلۀ بسیاری دارد.</w:t>
      </w:r>
    </w:p>
    <w:p w14:paraId="04CBAC4D" w14:textId="77777777" w:rsidR="004616EB" w:rsidRDefault="002E1365" w:rsidP="00C70D2F">
      <w:pPr>
        <w:jc w:val="both"/>
        <w:rPr>
          <w:rtl/>
        </w:rPr>
      </w:pPr>
      <w:r>
        <w:rPr>
          <w:rFonts w:hint="cs"/>
          <w:rtl/>
        </w:rPr>
        <w:t>در ضمن</w:t>
      </w:r>
      <w:r w:rsidR="004616EB">
        <w:rPr>
          <w:rFonts w:hint="cs"/>
          <w:rtl/>
        </w:rPr>
        <w:t xml:space="preserve"> آن</w:t>
      </w:r>
      <w:r>
        <w:rPr>
          <w:rFonts w:hint="cs"/>
          <w:rtl/>
        </w:rPr>
        <w:t xml:space="preserve"> به </w:t>
      </w:r>
      <w:r w:rsidR="00AF68A6">
        <w:rPr>
          <w:rFonts w:hint="cs"/>
          <w:rtl/>
        </w:rPr>
        <w:t>عبارت ابو حیّان</w:t>
      </w:r>
      <w:r w:rsidR="00637604">
        <w:rPr>
          <w:rFonts w:hint="cs"/>
          <w:rtl/>
        </w:rPr>
        <w:t xml:space="preserve"> نیز </w:t>
      </w:r>
      <w:r>
        <w:rPr>
          <w:rFonts w:hint="cs"/>
          <w:rtl/>
        </w:rPr>
        <w:t>اشاره شده است. ابو حیّان</w:t>
      </w:r>
      <w:r w:rsidR="00637604">
        <w:rPr>
          <w:rFonts w:hint="cs"/>
          <w:rtl/>
        </w:rPr>
        <w:t xml:space="preserve"> </w:t>
      </w:r>
      <w:r w:rsidR="0097288A">
        <w:rPr>
          <w:rFonts w:hint="cs"/>
          <w:rtl/>
        </w:rPr>
        <w:t xml:space="preserve">همان عبارت زمخشری را </w:t>
      </w:r>
      <w:r>
        <w:rPr>
          <w:rFonts w:hint="cs"/>
          <w:rtl/>
        </w:rPr>
        <w:t>نقل</w:t>
      </w:r>
      <w:r w:rsidR="0097288A">
        <w:rPr>
          <w:rFonts w:hint="cs"/>
          <w:rtl/>
        </w:rPr>
        <w:t xml:space="preserve"> نموده و</w:t>
      </w:r>
      <w:r>
        <w:rPr>
          <w:rFonts w:hint="cs"/>
          <w:rtl/>
        </w:rPr>
        <w:t>لی جالب اینجا است که عبارت ابو حیّان</w:t>
      </w:r>
      <w:r w:rsidR="0097288A">
        <w:rPr>
          <w:rFonts w:hint="cs"/>
          <w:rtl/>
        </w:rPr>
        <w:t xml:space="preserve"> یک کلمۀ «لا» اضافه دارد.</w:t>
      </w:r>
    </w:p>
    <w:p w14:paraId="18918670" w14:textId="149DBDDF" w:rsidR="0097288A" w:rsidRDefault="0097288A" w:rsidP="00C70D2F">
      <w:pPr>
        <w:jc w:val="both"/>
        <w:rPr>
          <w:color w:val="000080"/>
          <w:rtl/>
        </w:rPr>
      </w:pPr>
      <w:r w:rsidRPr="00637604">
        <w:rPr>
          <w:rFonts w:hint="cs"/>
          <w:color w:val="000080"/>
          <w:rtl/>
        </w:rPr>
        <w:t>«</w:t>
      </w:r>
      <w:r w:rsidRPr="00637604">
        <w:rPr>
          <w:color w:val="000080"/>
          <w:rtl/>
        </w:rPr>
        <w:t>و به سمى الأمر الذي هو واحد الأمور؛ لأن الداعي الذي يدعو إليه من</w:t>
      </w:r>
      <w:r>
        <w:rPr>
          <w:rFonts w:hint="cs"/>
          <w:color w:val="000080"/>
          <w:rtl/>
        </w:rPr>
        <w:t xml:space="preserve"> </w:t>
      </w:r>
      <w:r w:rsidRPr="00637604">
        <w:rPr>
          <w:color w:val="000080"/>
          <w:rtl/>
        </w:rPr>
        <w:t>يتولاه شبه بآمر يأمره به</w:t>
      </w:r>
      <w:r w:rsidRPr="0097288A">
        <w:rPr>
          <w:rtl/>
        </w:rPr>
        <w:t xml:space="preserve"> </w:t>
      </w:r>
      <w:r w:rsidRPr="0097288A">
        <w:rPr>
          <w:color w:val="000080"/>
          <w:rtl/>
        </w:rPr>
        <w:t>فقيل له: أمر، تسمية للمفعول به بالمصدر</w:t>
      </w:r>
      <w:r w:rsidRPr="00637604">
        <w:rPr>
          <w:rFonts w:hint="cs"/>
          <w:color w:val="000080"/>
          <w:rtl/>
        </w:rPr>
        <w:t>»</w:t>
      </w:r>
    </w:p>
    <w:p w14:paraId="4DEE913D" w14:textId="330923BC" w:rsidR="0097288A" w:rsidRDefault="0097288A" w:rsidP="00C70D2F">
      <w:pPr>
        <w:jc w:val="both"/>
        <w:rPr>
          <w:rtl/>
        </w:rPr>
      </w:pPr>
      <w:r w:rsidRPr="0097288A">
        <w:rPr>
          <w:rFonts w:hint="cs"/>
          <w:rtl/>
        </w:rPr>
        <w:t>امر غیر طلبی را به معنای فعل گرفته</w:t>
      </w:r>
      <w:r>
        <w:rPr>
          <w:rFonts w:hint="cs"/>
          <w:rtl/>
        </w:rPr>
        <w:t xml:space="preserve"> و می‌گوید این فعل به اعتبار این که یک کسی به آن امر می‌کند، امر نامیده شده است. در عبارت ابو حیّان </w:t>
      </w:r>
      <w:r w:rsidR="002E1365">
        <w:rPr>
          <w:rFonts w:hint="cs"/>
          <w:rtl/>
        </w:rPr>
        <w:t xml:space="preserve">به جای «یتولّاه»، </w:t>
      </w:r>
      <w:r>
        <w:rPr>
          <w:rFonts w:hint="cs"/>
          <w:rtl/>
        </w:rPr>
        <w:t xml:space="preserve">«لا یتولّاه» </w:t>
      </w:r>
      <w:r w:rsidR="002E1365">
        <w:rPr>
          <w:rFonts w:hint="cs"/>
          <w:rtl/>
        </w:rPr>
        <w:t xml:space="preserve">ذکر شده که </w:t>
      </w:r>
      <w:r>
        <w:rPr>
          <w:rFonts w:hint="cs"/>
          <w:rtl/>
        </w:rPr>
        <w:t xml:space="preserve">یک «لا» افزوده شده است </w:t>
      </w:r>
      <w:r w:rsidR="002E1365">
        <w:rPr>
          <w:rFonts w:hint="cs"/>
          <w:rtl/>
        </w:rPr>
        <w:t>و این «لا»</w:t>
      </w:r>
      <w:r>
        <w:rPr>
          <w:rFonts w:hint="cs"/>
          <w:rtl/>
        </w:rPr>
        <w:t xml:space="preserve"> زائد است. </w:t>
      </w:r>
      <w:r w:rsidR="00AF68A6">
        <w:rPr>
          <w:rFonts w:hint="cs"/>
          <w:rtl/>
        </w:rPr>
        <w:t xml:space="preserve">می‌خواهد بگوید آن چیزی که سبب می‌شود این فعل خارجی تحقق پیدا کند </w:t>
      </w:r>
      <w:r>
        <w:rPr>
          <w:rFonts w:hint="cs"/>
          <w:rtl/>
        </w:rPr>
        <w:t>آ</w:t>
      </w:r>
      <w:r w:rsidR="00AF68A6">
        <w:rPr>
          <w:rFonts w:hint="cs"/>
          <w:rtl/>
        </w:rPr>
        <w:t xml:space="preserve">ن مولایی </w:t>
      </w:r>
      <w:r>
        <w:rPr>
          <w:rFonts w:hint="cs"/>
          <w:rtl/>
        </w:rPr>
        <w:t>است</w:t>
      </w:r>
      <w:r w:rsidR="00AF68A6">
        <w:rPr>
          <w:rFonts w:hint="cs"/>
          <w:rtl/>
        </w:rPr>
        <w:t xml:space="preserve"> که من او را مولای خودم قرار دادم</w:t>
      </w:r>
      <w:r>
        <w:rPr>
          <w:rFonts w:hint="cs"/>
          <w:rtl/>
        </w:rPr>
        <w:t>.</w:t>
      </w:r>
      <w:r w:rsidR="00AF68A6">
        <w:rPr>
          <w:rFonts w:hint="cs"/>
          <w:rtl/>
        </w:rPr>
        <w:t xml:space="preserve"> خدا نسبت به من امری کرده</w:t>
      </w:r>
      <w:r>
        <w:rPr>
          <w:rFonts w:hint="cs"/>
          <w:rtl/>
        </w:rPr>
        <w:t>،</w:t>
      </w:r>
      <w:r w:rsidR="00AF68A6">
        <w:rPr>
          <w:rFonts w:hint="cs"/>
          <w:rtl/>
        </w:rPr>
        <w:t xml:space="preserve"> امر خدا باعث می‌شود من </w:t>
      </w:r>
      <w:r w:rsidR="00E10B02">
        <w:rPr>
          <w:rFonts w:hint="cs"/>
          <w:rtl/>
        </w:rPr>
        <w:t>آن</w:t>
      </w:r>
      <w:r w:rsidR="00AF68A6">
        <w:rPr>
          <w:rFonts w:hint="cs"/>
          <w:rtl/>
        </w:rPr>
        <w:t xml:space="preserve"> فعل را انجام بدهم، این فعل به اعتبار اینکه مأموربه الهی </w:t>
      </w:r>
      <w:r>
        <w:rPr>
          <w:rFonts w:hint="cs"/>
          <w:rtl/>
        </w:rPr>
        <w:t>است</w:t>
      </w:r>
      <w:r w:rsidR="00AF68A6">
        <w:rPr>
          <w:rFonts w:hint="cs"/>
          <w:rtl/>
        </w:rPr>
        <w:t xml:space="preserve"> و من به خاطر خدا </w:t>
      </w:r>
      <w:r>
        <w:rPr>
          <w:rFonts w:hint="cs"/>
          <w:rtl/>
        </w:rPr>
        <w:t>آن را انجام می‌دهم، امر نام گرفته است که مقصود از امر نیز مأموربه است.</w:t>
      </w:r>
    </w:p>
    <w:p w14:paraId="11DB3815" w14:textId="16F7FA51" w:rsidR="008C4FFF" w:rsidRDefault="00986CE8" w:rsidP="00C70D2F">
      <w:pPr>
        <w:jc w:val="both"/>
        <w:rPr>
          <w:rtl/>
        </w:rPr>
      </w:pPr>
      <w:r>
        <w:rPr>
          <w:rFonts w:hint="cs"/>
          <w:rtl/>
        </w:rPr>
        <w:lastRenderedPageBreak/>
        <w:t>آلوسی نیز همین عبارت را ذکر نموده است ولی</w:t>
      </w:r>
      <w:r w:rsidR="0097288A">
        <w:rPr>
          <w:rFonts w:hint="cs"/>
          <w:rtl/>
        </w:rPr>
        <w:t xml:space="preserve"> یک افزوده دارد</w:t>
      </w:r>
      <w:r>
        <w:rPr>
          <w:rFonts w:hint="cs"/>
          <w:rtl/>
        </w:rPr>
        <w:t>. عبارت آلوسی</w:t>
      </w:r>
      <w:r w:rsidR="0097288A">
        <w:rPr>
          <w:rFonts w:hint="cs"/>
          <w:rtl/>
        </w:rPr>
        <w:t xml:space="preserve"> نیز برگرفته از زمخشری است هر چند اندکی تفاوت دارد</w:t>
      </w:r>
      <w:r>
        <w:rPr>
          <w:rFonts w:hint="cs"/>
          <w:rtl/>
        </w:rPr>
        <w:t xml:space="preserve">: </w:t>
      </w:r>
      <w:r w:rsidR="0097288A" w:rsidRPr="00986CE8">
        <w:rPr>
          <w:rFonts w:hint="cs"/>
          <w:color w:val="000080"/>
          <w:rtl/>
        </w:rPr>
        <w:t>«</w:t>
      </w:r>
      <w:r w:rsidR="00AF68A6" w:rsidRPr="00986CE8">
        <w:rPr>
          <w:rFonts w:hint="cs"/>
          <w:color w:val="000080"/>
          <w:rtl/>
        </w:rPr>
        <w:t xml:space="preserve">الامر </w:t>
      </w:r>
      <w:r w:rsidRPr="00986CE8">
        <w:rPr>
          <w:rFonts w:hint="cs"/>
          <w:color w:val="000080"/>
          <w:rtl/>
        </w:rPr>
        <w:t>ال</w:t>
      </w:r>
      <w:r w:rsidR="00AF68A6" w:rsidRPr="00986CE8">
        <w:rPr>
          <w:rFonts w:hint="cs"/>
          <w:color w:val="000080"/>
          <w:rtl/>
        </w:rPr>
        <w:t xml:space="preserve">قول الطالب للفعل مع علوٍّ </w:t>
      </w:r>
      <w:r>
        <w:rPr>
          <w:rFonts w:hint="cs"/>
          <w:color w:val="000080"/>
          <w:rtl/>
        </w:rPr>
        <w:t>عند</w:t>
      </w:r>
      <w:r w:rsidR="00AF68A6" w:rsidRPr="00986CE8">
        <w:rPr>
          <w:rFonts w:hint="cs"/>
          <w:color w:val="000080"/>
          <w:rtl/>
        </w:rPr>
        <w:t xml:space="preserve"> </w:t>
      </w:r>
      <w:r>
        <w:rPr>
          <w:rFonts w:hint="cs"/>
          <w:color w:val="000080"/>
          <w:rtl/>
        </w:rPr>
        <w:t>المعتزلة</w:t>
      </w:r>
      <w:r w:rsidR="00AF68A6" w:rsidRPr="00986CE8">
        <w:rPr>
          <w:rFonts w:hint="cs"/>
          <w:color w:val="000080"/>
          <w:rtl/>
        </w:rPr>
        <w:t xml:space="preserve"> او استعلاءٍ عند ابی الحسین</w:t>
      </w:r>
      <w:r>
        <w:rPr>
          <w:rFonts w:hint="cs"/>
          <w:color w:val="000080"/>
          <w:rtl/>
        </w:rPr>
        <w:t>»</w:t>
      </w:r>
      <w:r w:rsidR="00E10B02">
        <w:rPr>
          <w:rStyle w:val="FootnoteReference"/>
          <w:color w:val="000080"/>
          <w:rtl/>
        </w:rPr>
        <w:footnoteReference w:id="14"/>
      </w:r>
      <w:r w:rsidR="008C4FFF">
        <w:rPr>
          <w:rFonts w:hint="cs"/>
          <w:rtl/>
        </w:rPr>
        <w:t xml:space="preserve"> سپس اشکال نموده است که در آینده پیرامون آن بحث خواهیم کرد. این اشکالی است که در بحث علوّ و استعلاء با آن روبرو هستیم.</w:t>
      </w:r>
    </w:p>
    <w:p w14:paraId="1B7170ED" w14:textId="7F823912" w:rsidR="008C4FFF" w:rsidRPr="00986CE8" w:rsidRDefault="008C4FFF" w:rsidP="00C70D2F">
      <w:pPr>
        <w:jc w:val="both"/>
        <w:rPr>
          <w:color w:val="000080"/>
          <w:rtl/>
        </w:rPr>
      </w:pPr>
      <w:r>
        <w:rPr>
          <w:rFonts w:hint="cs"/>
          <w:rtl/>
        </w:rPr>
        <w:t xml:space="preserve">می‌گوید: </w:t>
      </w:r>
      <w:r w:rsidR="00986CE8" w:rsidRPr="00986CE8">
        <w:rPr>
          <w:rFonts w:hint="cs"/>
          <w:color w:val="000080"/>
          <w:rtl/>
        </w:rPr>
        <w:t>«</w:t>
      </w:r>
      <w:r w:rsidR="00AF68A6" w:rsidRPr="00986CE8">
        <w:rPr>
          <w:rFonts w:hint="cs"/>
          <w:color w:val="000080"/>
          <w:rtl/>
        </w:rPr>
        <w:t xml:space="preserve">و </w:t>
      </w:r>
      <w:r w:rsidR="00986CE8" w:rsidRPr="00986CE8">
        <w:rPr>
          <w:rFonts w:hint="cs"/>
          <w:color w:val="000080"/>
          <w:rtl/>
        </w:rPr>
        <w:t>یفسدهما</w:t>
      </w:r>
      <w:r w:rsidR="00AF68A6" w:rsidRPr="00986CE8">
        <w:rPr>
          <w:rFonts w:hint="cs"/>
          <w:color w:val="000080"/>
          <w:rtl/>
        </w:rPr>
        <w:t xml:space="preserve"> ظاهر قوله تعالی حکایة عن فرعون </w:t>
      </w:r>
      <w:r w:rsidR="00986CE8">
        <w:rPr>
          <w:rFonts w:hint="cs"/>
          <w:color w:val="000080"/>
          <w:rtl/>
        </w:rPr>
        <w:t>«</w:t>
      </w:r>
      <w:r w:rsidR="00AF68A6" w:rsidRPr="00986CE8">
        <w:rPr>
          <w:rFonts w:hint="cs"/>
          <w:color w:val="000080"/>
          <w:rtl/>
        </w:rPr>
        <w:t>فما ذا تأمرون</w:t>
      </w:r>
      <w:r w:rsidR="00986CE8">
        <w:rPr>
          <w:rFonts w:hint="cs"/>
          <w:color w:val="000080"/>
          <w:rtl/>
        </w:rPr>
        <w:t>»</w:t>
      </w:r>
      <w:r w:rsidR="00AF68A6" w:rsidRPr="00986CE8">
        <w:rPr>
          <w:rFonts w:hint="cs"/>
          <w:color w:val="000080"/>
          <w:rtl/>
        </w:rPr>
        <w:t xml:space="preserve"> و یطلق </w:t>
      </w:r>
      <w:r w:rsidR="00986CE8" w:rsidRPr="00986CE8">
        <w:rPr>
          <w:rFonts w:hint="cs"/>
          <w:color w:val="000080"/>
          <w:rtl/>
        </w:rPr>
        <w:t xml:space="preserve">علی </w:t>
      </w:r>
      <w:r w:rsidR="00AF68A6" w:rsidRPr="00986CE8">
        <w:rPr>
          <w:rFonts w:hint="cs"/>
          <w:color w:val="000080"/>
          <w:rtl/>
        </w:rPr>
        <w:t xml:space="preserve">التکلم </w:t>
      </w:r>
      <w:r w:rsidR="00986CE8" w:rsidRPr="00986CE8">
        <w:rPr>
          <w:rFonts w:hint="cs"/>
          <w:color w:val="000080"/>
          <w:rtl/>
        </w:rPr>
        <w:t>ب</w:t>
      </w:r>
      <w:r w:rsidR="00AF68A6" w:rsidRPr="00986CE8">
        <w:rPr>
          <w:rFonts w:hint="cs"/>
          <w:color w:val="000080"/>
          <w:rtl/>
        </w:rPr>
        <w:t>الصیغة و علی نفسها</w:t>
      </w:r>
      <w:r w:rsidR="00986CE8" w:rsidRPr="00986CE8">
        <w:rPr>
          <w:rFonts w:hint="cs"/>
          <w:color w:val="000080"/>
          <w:rtl/>
        </w:rPr>
        <w:t>»</w:t>
      </w:r>
      <w:r w:rsidR="00E10B02">
        <w:rPr>
          <w:rStyle w:val="FootnoteReference"/>
          <w:color w:val="000080"/>
          <w:rtl/>
        </w:rPr>
        <w:footnoteReference w:id="15"/>
      </w:r>
      <w:r w:rsidR="00E10B02">
        <w:rPr>
          <w:rFonts w:hint="cs"/>
          <w:color w:val="000080"/>
          <w:rtl/>
        </w:rPr>
        <w:t xml:space="preserve"> </w:t>
      </w:r>
      <w:r w:rsidR="00986CE8">
        <w:rPr>
          <w:rFonts w:hint="cs"/>
          <w:rtl/>
        </w:rPr>
        <w:t>در ادامه می‌گوید:</w:t>
      </w:r>
      <w:r w:rsidR="00AF68A6">
        <w:rPr>
          <w:rFonts w:hint="cs"/>
          <w:rtl/>
        </w:rPr>
        <w:t xml:space="preserve"> </w:t>
      </w:r>
      <w:r w:rsidR="00986CE8" w:rsidRPr="00986CE8">
        <w:rPr>
          <w:rFonts w:hint="cs"/>
          <w:color w:val="000080"/>
          <w:rtl/>
        </w:rPr>
        <w:t>«</w:t>
      </w:r>
      <w:r w:rsidR="00AF68A6" w:rsidRPr="00986CE8">
        <w:rPr>
          <w:rFonts w:hint="cs"/>
          <w:color w:val="000080"/>
          <w:rtl/>
        </w:rPr>
        <w:t>و هذا هو الامر الطلبی و قد ن</w:t>
      </w:r>
      <w:r w:rsidR="00986CE8">
        <w:rPr>
          <w:rFonts w:hint="cs"/>
          <w:color w:val="000080"/>
          <w:rtl/>
        </w:rPr>
        <w:t>ُ</w:t>
      </w:r>
      <w:r w:rsidR="00AF68A6" w:rsidRPr="00986CE8">
        <w:rPr>
          <w:rFonts w:hint="cs"/>
          <w:color w:val="000080"/>
          <w:rtl/>
        </w:rPr>
        <w:t>ق</w:t>
      </w:r>
      <w:r w:rsidR="00986CE8">
        <w:rPr>
          <w:rFonts w:hint="cs"/>
          <w:color w:val="000080"/>
          <w:rtl/>
        </w:rPr>
        <w:t>ِ</w:t>
      </w:r>
      <w:r w:rsidR="00AF68A6" w:rsidRPr="00986CE8">
        <w:rPr>
          <w:rFonts w:hint="cs"/>
          <w:color w:val="000080"/>
          <w:rtl/>
        </w:rPr>
        <w:t>ل</w:t>
      </w:r>
      <w:r w:rsidR="00986CE8">
        <w:rPr>
          <w:rFonts w:hint="cs"/>
          <w:color w:val="000080"/>
          <w:rtl/>
        </w:rPr>
        <w:t>َ</w:t>
      </w:r>
      <w:r w:rsidR="00AF68A6" w:rsidRPr="00986CE8">
        <w:rPr>
          <w:rFonts w:hint="cs"/>
          <w:color w:val="000080"/>
          <w:rtl/>
        </w:rPr>
        <w:t xml:space="preserve"> الی الامر الذی یصدر عن الشخص</w:t>
      </w:r>
      <w:r w:rsidR="00986CE8">
        <w:rPr>
          <w:rFonts w:hint="cs"/>
          <w:color w:val="000080"/>
          <w:rtl/>
        </w:rPr>
        <w:t>»</w:t>
      </w:r>
      <w:r w:rsidR="00E10B02">
        <w:rPr>
          <w:rStyle w:val="FootnoteReference"/>
          <w:color w:val="000080"/>
          <w:rtl/>
        </w:rPr>
        <w:footnoteReference w:id="16"/>
      </w:r>
      <w:r w:rsidR="00E10B02">
        <w:rPr>
          <w:rFonts w:hint="cs"/>
          <w:rtl/>
        </w:rPr>
        <w:t xml:space="preserve"> </w:t>
      </w:r>
      <w:r>
        <w:rPr>
          <w:rFonts w:hint="cs"/>
          <w:rtl/>
        </w:rPr>
        <w:t xml:space="preserve">این </w:t>
      </w:r>
      <w:r w:rsidR="00AF68A6">
        <w:rPr>
          <w:rFonts w:hint="cs"/>
          <w:rtl/>
        </w:rPr>
        <w:t>امر</w:t>
      </w:r>
      <w:r>
        <w:rPr>
          <w:rFonts w:hint="cs"/>
          <w:rtl/>
        </w:rPr>
        <w:t xml:space="preserve"> را</w:t>
      </w:r>
      <w:r w:rsidR="00AF68A6">
        <w:rPr>
          <w:rFonts w:hint="cs"/>
          <w:rtl/>
        </w:rPr>
        <w:t xml:space="preserve"> به معنای فعل </w:t>
      </w:r>
      <w:r>
        <w:rPr>
          <w:rFonts w:hint="cs"/>
          <w:rtl/>
        </w:rPr>
        <w:t xml:space="preserve">صادر از شخص </w:t>
      </w:r>
      <w:r w:rsidR="00AF68A6">
        <w:rPr>
          <w:rFonts w:hint="cs"/>
          <w:rtl/>
        </w:rPr>
        <w:t>گرفته</w:t>
      </w:r>
      <w:r>
        <w:rPr>
          <w:rFonts w:hint="cs"/>
          <w:rtl/>
        </w:rPr>
        <w:t xml:space="preserve"> است</w:t>
      </w:r>
      <w:r w:rsidR="00986CE8">
        <w:rPr>
          <w:rFonts w:hint="cs"/>
          <w:rtl/>
        </w:rPr>
        <w:t xml:space="preserve">. </w:t>
      </w:r>
      <w:r w:rsidR="00986CE8" w:rsidRPr="00986CE8">
        <w:rPr>
          <w:rFonts w:hint="cs"/>
          <w:color w:val="000080"/>
          <w:rtl/>
        </w:rPr>
        <w:t>«</w:t>
      </w:r>
      <w:r w:rsidR="00AF68A6" w:rsidRPr="00986CE8">
        <w:rPr>
          <w:rFonts w:hint="cs"/>
          <w:color w:val="000080"/>
          <w:rtl/>
        </w:rPr>
        <w:t>لأنه یصدر عن داعیة تشبه الامر فکأنّه مأمور به</w:t>
      </w:r>
      <w:r w:rsidR="00986CE8" w:rsidRPr="00986CE8">
        <w:rPr>
          <w:rFonts w:hint="cs"/>
          <w:color w:val="000080"/>
          <w:rtl/>
        </w:rPr>
        <w:t>»</w:t>
      </w:r>
      <w:r w:rsidR="00E10B02">
        <w:rPr>
          <w:rStyle w:val="FootnoteReference"/>
          <w:color w:val="000080"/>
          <w:rtl/>
        </w:rPr>
        <w:footnoteReference w:id="17"/>
      </w:r>
    </w:p>
    <w:p w14:paraId="3AC71778" w14:textId="2941DD62" w:rsidR="008C4FFF" w:rsidRDefault="00AF68A6" w:rsidP="00C70D2F">
      <w:pPr>
        <w:jc w:val="both"/>
        <w:rPr>
          <w:rtl/>
        </w:rPr>
      </w:pPr>
      <w:r>
        <w:rPr>
          <w:rFonts w:hint="cs"/>
          <w:rtl/>
        </w:rPr>
        <w:t>می‌گوید</w:t>
      </w:r>
      <w:r w:rsidR="008C4FFF">
        <w:rPr>
          <w:rFonts w:hint="cs"/>
          <w:rtl/>
        </w:rPr>
        <w:t xml:space="preserve"> اطلاق امر بر فعل به جهت آن است که</w:t>
      </w:r>
      <w:r>
        <w:rPr>
          <w:rFonts w:hint="cs"/>
          <w:rtl/>
        </w:rPr>
        <w:t xml:space="preserve"> انسان یک </w:t>
      </w:r>
      <w:r w:rsidR="008C4FFF">
        <w:rPr>
          <w:rFonts w:hint="cs"/>
          <w:rtl/>
        </w:rPr>
        <w:t>انگیزۀ</w:t>
      </w:r>
      <w:r>
        <w:rPr>
          <w:rFonts w:hint="cs"/>
          <w:rtl/>
        </w:rPr>
        <w:t xml:space="preserve"> درونی دارد، که </w:t>
      </w:r>
      <w:r w:rsidR="008C4FFF">
        <w:rPr>
          <w:rFonts w:hint="cs"/>
          <w:rtl/>
        </w:rPr>
        <w:t>وی</w:t>
      </w:r>
      <w:r>
        <w:rPr>
          <w:rFonts w:hint="cs"/>
          <w:rtl/>
        </w:rPr>
        <w:t xml:space="preserve"> را به انجام کار وادار می‌کند</w:t>
      </w:r>
      <w:r w:rsidR="008C4FFF">
        <w:rPr>
          <w:rFonts w:hint="cs"/>
          <w:rtl/>
        </w:rPr>
        <w:t xml:space="preserve">، گویی آن فعل </w:t>
      </w:r>
      <w:r>
        <w:rPr>
          <w:rFonts w:hint="cs"/>
          <w:rtl/>
        </w:rPr>
        <w:t xml:space="preserve">مأموربه </w:t>
      </w:r>
      <w:r w:rsidR="008C4FFF">
        <w:rPr>
          <w:rFonts w:hint="cs"/>
          <w:rtl/>
        </w:rPr>
        <w:t>است.</w:t>
      </w:r>
    </w:p>
    <w:p w14:paraId="4FAF0D08" w14:textId="7B12384D" w:rsidR="008C4FFF" w:rsidRPr="00986CE8" w:rsidRDefault="00986CE8" w:rsidP="00C70D2F">
      <w:pPr>
        <w:jc w:val="both"/>
        <w:rPr>
          <w:color w:val="000080"/>
          <w:rtl/>
        </w:rPr>
      </w:pPr>
      <w:r w:rsidRPr="00986CE8">
        <w:rPr>
          <w:rFonts w:hint="cs"/>
          <w:color w:val="000080"/>
          <w:rtl/>
        </w:rPr>
        <w:t>«</w:t>
      </w:r>
      <w:r w:rsidR="00AF68A6" w:rsidRPr="00986CE8">
        <w:rPr>
          <w:rFonts w:hint="cs"/>
          <w:color w:val="000080"/>
          <w:rtl/>
        </w:rPr>
        <w:t>أو لأنّه من شأنه أن یؤمر به</w:t>
      </w:r>
      <w:r w:rsidRPr="00986CE8">
        <w:rPr>
          <w:rFonts w:hint="cs"/>
          <w:color w:val="000080"/>
          <w:rtl/>
        </w:rPr>
        <w:t>»</w:t>
      </w:r>
      <w:r w:rsidR="00E10B02">
        <w:rPr>
          <w:rStyle w:val="FootnoteReference"/>
          <w:color w:val="000080"/>
          <w:rtl/>
        </w:rPr>
        <w:footnoteReference w:id="18"/>
      </w:r>
    </w:p>
    <w:p w14:paraId="154AFACC" w14:textId="766F0AA0" w:rsidR="008C4FFF" w:rsidRDefault="008C4FFF" w:rsidP="00C70D2F">
      <w:pPr>
        <w:jc w:val="both"/>
        <w:rPr>
          <w:rtl/>
        </w:rPr>
      </w:pPr>
      <w:r>
        <w:rPr>
          <w:rFonts w:hint="cs"/>
          <w:rtl/>
        </w:rPr>
        <w:t>یا اطلاق امر بر فعل به جهت آن است که</w:t>
      </w:r>
      <w:r w:rsidR="00AF68A6">
        <w:rPr>
          <w:rFonts w:hint="cs"/>
          <w:rtl/>
        </w:rPr>
        <w:t xml:space="preserve"> این فعل </w:t>
      </w:r>
      <w:r>
        <w:rPr>
          <w:rFonts w:hint="cs"/>
          <w:rtl/>
        </w:rPr>
        <w:t>شأنیت تعلق</w:t>
      </w:r>
      <w:r w:rsidR="00AF68A6">
        <w:rPr>
          <w:rFonts w:hint="cs"/>
          <w:rtl/>
        </w:rPr>
        <w:t xml:space="preserve"> امر</w:t>
      </w:r>
      <w:r>
        <w:rPr>
          <w:rFonts w:hint="cs"/>
          <w:rtl/>
        </w:rPr>
        <w:t xml:space="preserve"> و</w:t>
      </w:r>
      <w:r w:rsidR="00AF68A6">
        <w:rPr>
          <w:rFonts w:hint="cs"/>
          <w:rtl/>
        </w:rPr>
        <w:t xml:space="preserve"> مأمو</w:t>
      </w:r>
      <w:r>
        <w:rPr>
          <w:rFonts w:hint="cs"/>
          <w:rtl/>
        </w:rPr>
        <w:t>ر</w:t>
      </w:r>
      <w:r w:rsidR="00AF68A6">
        <w:rPr>
          <w:rFonts w:hint="cs"/>
          <w:rtl/>
        </w:rPr>
        <w:t xml:space="preserve">به واقع شدن </w:t>
      </w:r>
      <w:r>
        <w:rPr>
          <w:rFonts w:hint="cs"/>
          <w:rtl/>
        </w:rPr>
        <w:t>را دارد.</w:t>
      </w:r>
    </w:p>
    <w:p w14:paraId="69E5D0C0" w14:textId="3086477E" w:rsidR="00E10B02" w:rsidRDefault="00570CAB" w:rsidP="00C70D2F">
      <w:pPr>
        <w:jc w:val="both"/>
        <w:rPr>
          <w:rtl/>
        </w:rPr>
      </w:pPr>
      <w:r w:rsidRPr="00570CAB">
        <w:rPr>
          <w:rFonts w:hint="cs"/>
          <w:color w:val="000080"/>
          <w:rtl/>
        </w:rPr>
        <w:t>«</w:t>
      </w:r>
      <w:r w:rsidR="00AF68A6" w:rsidRPr="00570CAB">
        <w:rPr>
          <w:rFonts w:hint="cs"/>
          <w:color w:val="000080"/>
          <w:rtl/>
        </w:rPr>
        <w:t xml:space="preserve">کما سُمّی الخطب و الحال </w:t>
      </w:r>
      <w:r w:rsidRPr="00570CAB">
        <w:rPr>
          <w:rFonts w:hint="cs"/>
          <w:color w:val="000080"/>
          <w:rtl/>
        </w:rPr>
        <w:t>العظیمة</w:t>
      </w:r>
      <w:r w:rsidR="00AF68A6" w:rsidRPr="00570CAB">
        <w:rPr>
          <w:rFonts w:hint="cs"/>
          <w:color w:val="000080"/>
          <w:rtl/>
        </w:rPr>
        <w:t xml:space="preserve"> شأناً و هو مصدر فی الاصل </w:t>
      </w:r>
      <w:r w:rsidR="00AF68A6" w:rsidRPr="00E10B02">
        <w:rPr>
          <w:rFonts w:hint="cs"/>
          <w:color w:val="000080"/>
          <w:rtl/>
        </w:rPr>
        <w:t xml:space="preserve">بمعنی </w:t>
      </w:r>
      <w:r w:rsidR="00E10B02" w:rsidRPr="00E10B02">
        <w:rPr>
          <w:rFonts w:hint="cs"/>
          <w:color w:val="000080"/>
          <w:rtl/>
        </w:rPr>
        <w:t>القصد</w:t>
      </w:r>
      <w:r w:rsidR="00AF68A6" w:rsidRPr="00E10B02">
        <w:rPr>
          <w:rFonts w:hint="cs"/>
          <w:color w:val="000080"/>
          <w:rtl/>
        </w:rPr>
        <w:t xml:space="preserve"> و سمّی به ذلک لأن من شأنه أن یقصد</w:t>
      </w:r>
      <w:r>
        <w:rPr>
          <w:rFonts w:hint="cs"/>
          <w:color w:val="000080"/>
          <w:rtl/>
        </w:rPr>
        <w:t>»</w:t>
      </w:r>
      <w:r w:rsidR="00AF68A6">
        <w:rPr>
          <w:rFonts w:hint="cs"/>
          <w:rtl/>
        </w:rPr>
        <w:t>.</w:t>
      </w:r>
      <w:r w:rsidR="00E10B02">
        <w:rPr>
          <w:rStyle w:val="FootnoteReference"/>
          <w:rtl/>
        </w:rPr>
        <w:footnoteReference w:id="19"/>
      </w:r>
    </w:p>
    <w:p w14:paraId="278011A0" w14:textId="1AB34188" w:rsidR="00AF68A6" w:rsidRPr="00CE465E" w:rsidRDefault="008C4FFF" w:rsidP="00C70D2F">
      <w:pPr>
        <w:jc w:val="both"/>
        <w:rPr>
          <w:rtl/>
        </w:rPr>
      </w:pPr>
      <w:r>
        <w:rPr>
          <w:rFonts w:hint="cs"/>
          <w:rtl/>
        </w:rPr>
        <w:t>اصل این مطلب را از زمخشری گرفته است هر چند شکل تعابیرش متفاوت است.</w:t>
      </w:r>
    </w:p>
    <w:p w14:paraId="7730FA98" w14:textId="0E30C943" w:rsidR="00AF68A6" w:rsidRPr="00CE465E" w:rsidRDefault="00AF68A6" w:rsidP="00C70D2F">
      <w:pPr>
        <w:jc w:val="both"/>
        <w:rPr>
          <w:rtl/>
        </w:rPr>
      </w:pPr>
      <w:r w:rsidRPr="00CE465E">
        <w:rPr>
          <w:rFonts w:hint="cs"/>
          <w:b/>
          <w:bCs/>
          <w:rtl/>
        </w:rPr>
        <w:t>شاگرد:</w:t>
      </w:r>
      <w:r w:rsidRPr="00CE465E">
        <w:rPr>
          <w:rFonts w:hint="cs"/>
          <w:rtl/>
        </w:rPr>
        <w:t xml:space="preserve"> </w:t>
      </w:r>
      <w:r w:rsidR="008C4FFF">
        <w:rPr>
          <w:rFonts w:hint="cs"/>
          <w:rtl/>
        </w:rPr>
        <w:t xml:space="preserve">مرحوم </w:t>
      </w:r>
      <w:r>
        <w:rPr>
          <w:rFonts w:hint="cs"/>
          <w:rtl/>
        </w:rPr>
        <w:t xml:space="preserve">طبرسی </w:t>
      </w:r>
      <w:r w:rsidR="008C4FFF">
        <w:rPr>
          <w:rFonts w:hint="cs"/>
          <w:rtl/>
        </w:rPr>
        <w:t>نیز</w:t>
      </w:r>
      <w:r>
        <w:rPr>
          <w:rFonts w:hint="cs"/>
          <w:rtl/>
        </w:rPr>
        <w:t xml:space="preserve"> همان عبارت زمخشری را </w:t>
      </w:r>
      <w:r w:rsidR="008C4FFF">
        <w:rPr>
          <w:rFonts w:hint="cs"/>
          <w:rtl/>
        </w:rPr>
        <w:t>ذکر نموده است ولی</w:t>
      </w:r>
      <w:r>
        <w:rPr>
          <w:rFonts w:hint="cs"/>
          <w:rtl/>
        </w:rPr>
        <w:t xml:space="preserve"> </w:t>
      </w:r>
      <w:r w:rsidR="008C4FFF">
        <w:rPr>
          <w:rFonts w:hint="cs"/>
          <w:rtl/>
        </w:rPr>
        <w:t>«</w:t>
      </w:r>
      <w:r>
        <w:rPr>
          <w:rFonts w:hint="cs"/>
          <w:rtl/>
        </w:rPr>
        <w:t>من یتولاه</w:t>
      </w:r>
      <w:r w:rsidR="008C4FFF">
        <w:rPr>
          <w:rFonts w:hint="cs"/>
          <w:rtl/>
        </w:rPr>
        <w:t xml:space="preserve">» </w:t>
      </w:r>
      <w:r w:rsidR="00E10B02">
        <w:rPr>
          <w:rFonts w:hint="cs"/>
          <w:rtl/>
        </w:rPr>
        <w:t xml:space="preserve">را </w:t>
      </w:r>
      <w:r w:rsidR="008C4FFF">
        <w:rPr>
          <w:rFonts w:hint="cs"/>
          <w:rtl/>
        </w:rPr>
        <w:t>حذف کرده است.</w:t>
      </w:r>
    </w:p>
    <w:p w14:paraId="48F8D8A6" w14:textId="740148A5" w:rsidR="00D82E46" w:rsidRDefault="00AF68A6" w:rsidP="00C70D2F">
      <w:pPr>
        <w:jc w:val="both"/>
        <w:rPr>
          <w:rtl/>
        </w:rPr>
      </w:pPr>
      <w:r w:rsidRPr="00CE465E">
        <w:rPr>
          <w:rFonts w:hint="cs"/>
          <w:b/>
          <w:bCs/>
          <w:rtl/>
        </w:rPr>
        <w:t>استاد:</w:t>
      </w:r>
      <w:r w:rsidRPr="00CE465E">
        <w:rPr>
          <w:rFonts w:hint="cs"/>
          <w:rtl/>
        </w:rPr>
        <w:t xml:space="preserve"> </w:t>
      </w:r>
      <w:r w:rsidR="008C4FFF">
        <w:rPr>
          <w:rFonts w:hint="cs"/>
          <w:rtl/>
        </w:rPr>
        <w:t>عمدۀ مطالب</w:t>
      </w:r>
      <w:r w:rsidRPr="008C4FFF">
        <w:rPr>
          <w:rFonts w:hint="cs"/>
          <w:rtl/>
        </w:rPr>
        <w:t xml:space="preserve"> جوامع</w:t>
      </w:r>
      <w:r w:rsidR="008C4FFF">
        <w:rPr>
          <w:rFonts w:hint="cs"/>
          <w:rtl/>
        </w:rPr>
        <w:t xml:space="preserve"> الجامع مرحوم طبرسی، از</w:t>
      </w:r>
      <w:r w:rsidRPr="008C4FFF">
        <w:rPr>
          <w:rFonts w:hint="cs"/>
          <w:rtl/>
        </w:rPr>
        <w:t xml:space="preserve"> کشاف است</w:t>
      </w:r>
      <w:r w:rsidR="008C4FFF">
        <w:rPr>
          <w:rFonts w:hint="cs"/>
          <w:rtl/>
        </w:rPr>
        <w:t xml:space="preserve">. هر چند مرحوم طبرسی در مقدمۀ جوامع الجامع گفته است مطالب این کتاب را از مجمع البیان و کشاف آورده است ولی مطالبی که از مجمع البیان آورده بسیار اندک است مگر در مسائل عقیدتی و امثال آن که کشاف به بیراهه رفته است؛ </w:t>
      </w:r>
      <w:r w:rsidRPr="008C4FFF">
        <w:rPr>
          <w:rFonts w:hint="cs"/>
          <w:rtl/>
        </w:rPr>
        <w:t>نوع م</w:t>
      </w:r>
      <w:r w:rsidR="008C4FFF">
        <w:rPr>
          <w:rFonts w:hint="cs"/>
          <w:rtl/>
        </w:rPr>
        <w:t>طالب اصلی این کتاب،</w:t>
      </w:r>
      <w:r w:rsidRPr="008C4FFF">
        <w:rPr>
          <w:rFonts w:hint="cs"/>
          <w:rtl/>
        </w:rPr>
        <w:t xml:space="preserve"> </w:t>
      </w:r>
      <w:r w:rsidR="008C4FFF">
        <w:rPr>
          <w:rFonts w:hint="cs"/>
          <w:rtl/>
        </w:rPr>
        <w:t>از کشاف گرفته شده است.</w:t>
      </w:r>
      <w:r w:rsidR="00D82E46">
        <w:rPr>
          <w:rFonts w:hint="cs"/>
          <w:rtl/>
        </w:rPr>
        <w:t xml:space="preserve"> </w:t>
      </w:r>
      <w:r w:rsidRPr="008C4FFF">
        <w:rPr>
          <w:rFonts w:hint="cs"/>
          <w:rtl/>
        </w:rPr>
        <w:t>البته ایشان در مقدمه می‌گوید من از الفاظ کشاف استفاده می‌کنم، چون الفاظش شیرین است</w:t>
      </w:r>
      <w:r w:rsidR="00D82E46">
        <w:rPr>
          <w:rStyle w:val="FootnoteReference"/>
          <w:rtl/>
        </w:rPr>
        <w:footnoteReference w:id="20"/>
      </w:r>
      <w:r w:rsidR="00D82E46">
        <w:rPr>
          <w:rFonts w:hint="cs"/>
          <w:rtl/>
        </w:rPr>
        <w:t>.</w:t>
      </w:r>
    </w:p>
    <w:p w14:paraId="18F647D8" w14:textId="77777777" w:rsidR="00D82E46" w:rsidRDefault="00D82E46" w:rsidP="00C70D2F">
      <w:pPr>
        <w:jc w:val="both"/>
        <w:rPr>
          <w:rtl/>
        </w:rPr>
      </w:pPr>
      <w:r>
        <w:rPr>
          <w:rFonts w:hint="cs"/>
          <w:rtl/>
        </w:rPr>
        <w:t>کوتاه سخن آن که ایشان از الفاظ زمخشری بسیار خوشش آمده و از همین رو سعی کرده از الفاظ وی بهره ببرد.</w:t>
      </w:r>
    </w:p>
    <w:p w14:paraId="06EC812E" w14:textId="26EE0AA4" w:rsidR="00AF68A6" w:rsidRDefault="00AF68A6" w:rsidP="00C70D2F">
      <w:pPr>
        <w:jc w:val="both"/>
        <w:rPr>
          <w:rtl/>
        </w:rPr>
      </w:pPr>
      <w:r>
        <w:rPr>
          <w:rFonts w:hint="cs"/>
          <w:rtl/>
        </w:rPr>
        <w:t>مرحوم علام</w:t>
      </w:r>
      <w:r w:rsidRPr="00D82E46">
        <w:rPr>
          <w:rFonts w:hint="cs"/>
          <w:rtl/>
        </w:rPr>
        <w:t>ۀ</w:t>
      </w:r>
      <w:r>
        <w:rPr>
          <w:rFonts w:hint="cs"/>
          <w:rtl/>
        </w:rPr>
        <w:t xml:space="preserve"> طباطبایی </w:t>
      </w:r>
      <w:r w:rsidR="00D82E46">
        <w:rPr>
          <w:rFonts w:hint="cs"/>
          <w:rtl/>
        </w:rPr>
        <w:t>بحث‌هایی پیرامون</w:t>
      </w:r>
      <w:r>
        <w:rPr>
          <w:rFonts w:hint="cs"/>
          <w:rtl/>
        </w:rPr>
        <w:t xml:space="preserve"> امر </w:t>
      </w:r>
      <w:r w:rsidR="00D82E46">
        <w:rPr>
          <w:rFonts w:hint="cs"/>
          <w:rtl/>
        </w:rPr>
        <w:t>مطرح نموده‌اند که وارد آن</w:t>
      </w:r>
      <w:r>
        <w:rPr>
          <w:rFonts w:hint="cs"/>
          <w:rtl/>
        </w:rPr>
        <w:t xml:space="preserve"> نمی‌شوم</w:t>
      </w:r>
      <w:r w:rsidR="00D82E46">
        <w:rPr>
          <w:rFonts w:hint="cs"/>
          <w:rtl/>
        </w:rPr>
        <w:t xml:space="preserve"> چون به نظر می‌رسد خیلی از مطالب ایشان اجتهادات بی‌دلیل است. این که معانی متعدد را به یک معنا بازگردانیم فقط کلام </w:t>
      </w:r>
      <w:r>
        <w:rPr>
          <w:rFonts w:hint="cs"/>
          <w:rtl/>
        </w:rPr>
        <w:t>مرحوم علام</w:t>
      </w:r>
      <w:r w:rsidRPr="00D82E46">
        <w:rPr>
          <w:rFonts w:hint="cs"/>
          <w:rtl/>
        </w:rPr>
        <w:t>ۀ</w:t>
      </w:r>
      <w:r>
        <w:rPr>
          <w:rFonts w:hint="cs"/>
          <w:rtl/>
        </w:rPr>
        <w:t xml:space="preserve"> طباطبایی نیست</w:t>
      </w:r>
      <w:r w:rsidR="00D82E46">
        <w:rPr>
          <w:rFonts w:hint="cs"/>
          <w:rtl/>
        </w:rPr>
        <w:t>؛</w:t>
      </w:r>
      <w:r>
        <w:rPr>
          <w:rFonts w:hint="cs"/>
          <w:rtl/>
        </w:rPr>
        <w:t xml:space="preserve"> کلام مرحوم علام</w:t>
      </w:r>
      <w:r w:rsidRPr="00D82E46">
        <w:rPr>
          <w:rFonts w:hint="cs"/>
          <w:rtl/>
        </w:rPr>
        <w:t>ۀ</w:t>
      </w:r>
      <w:r>
        <w:rPr>
          <w:rFonts w:hint="cs"/>
          <w:rtl/>
        </w:rPr>
        <w:t xml:space="preserve"> طباطبایی </w:t>
      </w:r>
      <w:r w:rsidR="00D82E46">
        <w:rPr>
          <w:rFonts w:hint="cs"/>
          <w:rtl/>
        </w:rPr>
        <w:t>نیز</w:t>
      </w:r>
      <w:r>
        <w:rPr>
          <w:rFonts w:hint="cs"/>
          <w:rtl/>
        </w:rPr>
        <w:t xml:space="preserve"> در این چارچوب می‌گنجد</w:t>
      </w:r>
      <w:r w:rsidR="00D82E46">
        <w:rPr>
          <w:rFonts w:hint="cs"/>
          <w:rtl/>
        </w:rPr>
        <w:t>.</w:t>
      </w:r>
      <w:r w:rsidR="00E10B02">
        <w:rPr>
          <w:rFonts w:hint="cs"/>
          <w:rtl/>
        </w:rPr>
        <w:t xml:space="preserve"> برخی</w:t>
      </w:r>
      <w:r w:rsidR="00D82E46">
        <w:rPr>
          <w:rFonts w:hint="cs"/>
          <w:rtl/>
        </w:rPr>
        <w:t xml:space="preserve"> </w:t>
      </w:r>
      <w:r>
        <w:rPr>
          <w:rFonts w:hint="cs"/>
          <w:rtl/>
        </w:rPr>
        <w:t>بحث‌ها</w:t>
      </w:r>
      <w:r w:rsidR="00D82E46">
        <w:rPr>
          <w:rFonts w:hint="cs"/>
          <w:rtl/>
        </w:rPr>
        <w:t>ی</w:t>
      </w:r>
      <w:r>
        <w:rPr>
          <w:rFonts w:hint="cs"/>
          <w:rtl/>
        </w:rPr>
        <w:t xml:space="preserve"> لغوی بر</w:t>
      </w:r>
      <w:r w:rsidR="00D82E46">
        <w:rPr>
          <w:rFonts w:hint="cs"/>
          <w:rtl/>
        </w:rPr>
        <w:t xml:space="preserve"> </w:t>
      </w:r>
      <w:r>
        <w:rPr>
          <w:rFonts w:hint="cs"/>
          <w:rtl/>
        </w:rPr>
        <w:t>اساس یک سری استنباطاتی</w:t>
      </w:r>
      <w:r w:rsidR="00D82E46">
        <w:rPr>
          <w:rFonts w:hint="cs"/>
          <w:rtl/>
        </w:rPr>
        <w:t xml:space="preserve"> صورت گرفته است که فی حد نفسه ممکن است حرف خوبی باشد </w:t>
      </w:r>
      <w:r w:rsidR="00E10B02">
        <w:rPr>
          <w:rFonts w:hint="cs"/>
          <w:rtl/>
        </w:rPr>
        <w:t xml:space="preserve">ولی </w:t>
      </w:r>
      <w:r w:rsidR="00D82E46">
        <w:rPr>
          <w:rFonts w:hint="cs"/>
          <w:rtl/>
        </w:rPr>
        <w:t xml:space="preserve">شاهدی وجود ندارد مبنی بر این که این الفاظ در آیات و روایات، به ملاحظۀ این نکاتی که گفته شده، باشد چون </w:t>
      </w:r>
      <w:r w:rsidR="00E10B02">
        <w:rPr>
          <w:rFonts w:hint="cs"/>
          <w:rtl/>
        </w:rPr>
        <w:t xml:space="preserve">ایشان </w:t>
      </w:r>
      <w:r w:rsidR="00D82E46">
        <w:rPr>
          <w:rFonts w:hint="cs"/>
          <w:rtl/>
        </w:rPr>
        <w:t>هیچ شاهدی برای ادعای خویش بیان نمی‌ک</w:t>
      </w:r>
      <w:r w:rsidR="00E10B02">
        <w:rPr>
          <w:rFonts w:hint="cs"/>
          <w:rtl/>
        </w:rPr>
        <w:t>ن</w:t>
      </w:r>
      <w:r w:rsidR="00D82E46">
        <w:rPr>
          <w:rFonts w:hint="cs"/>
          <w:rtl/>
        </w:rPr>
        <w:t>د.</w:t>
      </w:r>
      <w:r w:rsidR="00E10B02">
        <w:rPr>
          <w:rFonts w:hint="cs"/>
          <w:rtl/>
        </w:rPr>
        <w:t xml:space="preserve"> </w:t>
      </w:r>
      <w:r w:rsidR="00D82E46">
        <w:rPr>
          <w:rFonts w:hint="cs"/>
          <w:rtl/>
        </w:rPr>
        <w:t>ادعای خویش را ذکر نموده و تا پایان پیش می‌رود.</w:t>
      </w:r>
    </w:p>
    <w:p w14:paraId="3A9BDBA5" w14:textId="77777777" w:rsidR="00570CAB" w:rsidRDefault="00570CAB" w:rsidP="00C70D2F">
      <w:pPr>
        <w:pStyle w:val="Heading3"/>
        <w:jc w:val="both"/>
        <w:rPr>
          <w:rtl/>
        </w:rPr>
      </w:pPr>
      <w:bookmarkStart w:id="8" w:name="_Toc165789490"/>
      <w:r>
        <w:rPr>
          <w:rFonts w:hint="cs"/>
          <w:rtl/>
        </w:rPr>
        <w:lastRenderedPageBreak/>
        <w:t>مروری بر استدلالات اشتراک لفظی مادۀ امر</w:t>
      </w:r>
      <w:bookmarkEnd w:id="8"/>
    </w:p>
    <w:p w14:paraId="6D168C36" w14:textId="77777777" w:rsidR="00EF4187" w:rsidRDefault="00EF4187" w:rsidP="00C70D2F">
      <w:pPr>
        <w:jc w:val="both"/>
        <w:rPr>
          <w:rtl/>
        </w:rPr>
      </w:pPr>
      <w:r>
        <w:rPr>
          <w:rFonts w:hint="cs"/>
          <w:rtl/>
        </w:rPr>
        <w:t xml:space="preserve">به باور ما، وضع مادۀ امر برای دو معنا، یک درک وجدانی روشن است. با این وجود برای اثبات تعدد معنای امر استدلالاتی در کلمات اصول‌دانان ذکر شده است. این </w:t>
      </w:r>
      <w:r w:rsidR="00AF68A6">
        <w:rPr>
          <w:rFonts w:hint="cs"/>
          <w:rtl/>
        </w:rPr>
        <w:t xml:space="preserve">استدلالات </w:t>
      </w:r>
      <w:r>
        <w:rPr>
          <w:rFonts w:hint="cs"/>
          <w:rtl/>
        </w:rPr>
        <w:t>در کلمات</w:t>
      </w:r>
      <w:r w:rsidR="00AF68A6">
        <w:rPr>
          <w:rFonts w:hint="cs"/>
          <w:rtl/>
        </w:rPr>
        <w:t xml:space="preserve"> آقای شهیدی </w:t>
      </w:r>
      <w:r>
        <w:rPr>
          <w:rFonts w:hint="cs"/>
          <w:rtl/>
        </w:rPr>
        <w:t>به شکل تفصیلی مورد بحث قرار گرفته است. بحث‌های ایشان سودمند است و جالب آن است که بسیاری از نکات مذکور در کلام ایشان، دقیقاً همان نکاتی است که در ذهن ما وجود داشت.</w:t>
      </w:r>
    </w:p>
    <w:p w14:paraId="29EEFC60" w14:textId="74B517CC" w:rsidR="00FE2BFB" w:rsidRDefault="00EF4187" w:rsidP="00C70D2F">
      <w:pPr>
        <w:jc w:val="both"/>
        <w:rPr>
          <w:rtl/>
        </w:rPr>
      </w:pPr>
      <w:r>
        <w:rPr>
          <w:rFonts w:hint="cs"/>
          <w:rtl/>
        </w:rPr>
        <w:t xml:space="preserve">برای مثال ایشان می‌فرماید اگر مرادتان این است که امر طلبی و غیر طلبی </w:t>
      </w:r>
      <w:r w:rsidR="00570CAB">
        <w:rPr>
          <w:rFonts w:hint="cs"/>
          <w:rtl/>
        </w:rPr>
        <w:t>بالفعل</w:t>
      </w:r>
      <w:r>
        <w:rPr>
          <w:rFonts w:hint="cs"/>
          <w:rtl/>
        </w:rPr>
        <w:t xml:space="preserve"> یک معنا هستند، صحیح نیست؛ ولی اگر مقصودتان آن است که دو معنای مختلف هستند که یکی از دیگری گرفته شده، امکانش وجود دارد.</w:t>
      </w:r>
      <w:r w:rsidR="00FE2BFB">
        <w:rPr>
          <w:rStyle w:val="FootnoteReference"/>
          <w:rtl/>
        </w:rPr>
        <w:footnoteReference w:id="21"/>
      </w:r>
      <w:r>
        <w:rPr>
          <w:rFonts w:hint="cs"/>
          <w:rtl/>
        </w:rPr>
        <w:t xml:space="preserve"> ما نیز همین نکته را متذکر شدیم و گفتیم در کلمات مدعیان ارتباط، ه</w:t>
      </w:r>
      <w:r w:rsidR="00AF68A6">
        <w:rPr>
          <w:rFonts w:hint="cs"/>
          <w:rtl/>
        </w:rPr>
        <w:t xml:space="preserve">ر دو </w:t>
      </w:r>
      <w:r>
        <w:rPr>
          <w:rFonts w:hint="cs"/>
          <w:rtl/>
        </w:rPr>
        <w:t>ادعا مطرح است.</w:t>
      </w:r>
      <w:r w:rsidR="00FE2BFB">
        <w:rPr>
          <w:rFonts w:hint="cs"/>
          <w:rtl/>
        </w:rPr>
        <w:t xml:space="preserve"> ظاهر عبارت مرحوم شیخ طوسی آن است که امر تنها یک معنا دارد ولی ظاهر عبارت زمخشری </w:t>
      </w:r>
      <w:r w:rsidR="00E10B02">
        <w:rPr>
          <w:rFonts w:hint="cs"/>
          <w:rtl/>
        </w:rPr>
        <w:t>_</w:t>
      </w:r>
      <w:r w:rsidR="00FE2BFB">
        <w:rPr>
          <w:rFonts w:hint="cs"/>
          <w:rtl/>
        </w:rPr>
        <w:t>و آلوسی که تابع اوست</w:t>
      </w:r>
      <w:r w:rsidR="00E10B02">
        <w:rPr>
          <w:rFonts w:hint="cs"/>
          <w:rtl/>
        </w:rPr>
        <w:t>_</w:t>
      </w:r>
      <w:r w:rsidR="00FE2BFB">
        <w:rPr>
          <w:rFonts w:hint="cs"/>
          <w:rtl/>
        </w:rPr>
        <w:t>، آن است که دو معنا دارد ولی معنای امری که مفرد امور است از امر به معنای طلب گرفته شده است.</w:t>
      </w:r>
    </w:p>
    <w:p w14:paraId="2EB495E5" w14:textId="530AD77C" w:rsidR="00E72B38" w:rsidRDefault="00AF68A6" w:rsidP="00C70D2F">
      <w:pPr>
        <w:jc w:val="both"/>
        <w:rPr>
          <w:rtl/>
        </w:rPr>
      </w:pPr>
      <w:r>
        <w:rPr>
          <w:rFonts w:hint="cs"/>
          <w:rtl/>
        </w:rPr>
        <w:t>یکی از استدلالات</w:t>
      </w:r>
      <w:r w:rsidR="00FE2BFB">
        <w:rPr>
          <w:rFonts w:hint="cs"/>
          <w:rtl/>
        </w:rPr>
        <w:t xml:space="preserve"> تعدد معنای امر، تعدد صیغۀ جمع بود. </w:t>
      </w:r>
      <w:r>
        <w:rPr>
          <w:rFonts w:hint="cs"/>
          <w:rtl/>
        </w:rPr>
        <w:t>امر</w:t>
      </w:r>
      <w:r w:rsidR="00FE2BFB">
        <w:rPr>
          <w:rFonts w:hint="cs"/>
          <w:rtl/>
        </w:rPr>
        <w:t xml:space="preserve"> غیر طلبی </w:t>
      </w:r>
      <w:r>
        <w:rPr>
          <w:rFonts w:hint="cs"/>
          <w:rtl/>
        </w:rPr>
        <w:t>جمعش امور است</w:t>
      </w:r>
      <w:r w:rsidR="00FE2BFB">
        <w:rPr>
          <w:rFonts w:hint="cs"/>
          <w:rtl/>
        </w:rPr>
        <w:t xml:space="preserve"> ولی</w:t>
      </w:r>
      <w:r>
        <w:rPr>
          <w:rFonts w:hint="cs"/>
          <w:rtl/>
        </w:rPr>
        <w:t xml:space="preserve"> امر </w:t>
      </w:r>
      <w:r w:rsidR="003F0ED4">
        <w:rPr>
          <w:rFonts w:hint="cs"/>
          <w:rtl/>
        </w:rPr>
        <w:t>طلبی</w:t>
      </w:r>
      <w:r>
        <w:rPr>
          <w:rFonts w:hint="cs"/>
          <w:rtl/>
        </w:rPr>
        <w:t xml:space="preserve"> جمعش اوامر است.</w:t>
      </w:r>
      <w:r w:rsidR="00E72B38">
        <w:rPr>
          <w:rFonts w:hint="cs"/>
          <w:rtl/>
        </w:rPr>
        <w:t xml:space="preserve"> نسبت به این استدلال اشکالاتی مطرح شده است. از جملۀ این اشکالات، اشکالی بود که در جلسۀ قبل از محقق اصفهانی نقل نموده و گفتیم این اشکال وارد نیست.</w:t>
      </w:r>
    </w:p>
    <w:p w14:paraId="68E72093" w14:textId="1C9C0A3D" w:rsidR="00E72B38" w:rsidRDefault="00E72B38" w:rsidP="00C70D2F">
      <w:pPr>
        <w:jc w:val="both"/>
        <w:rPr>
          <w:rtl/>
        </w:rPr>
      </w:pPr>
      <w:r>
        <w:rPr>
          <w:rFonts w:hint="cs"/>
          <w:rtl/>
        </w:rPr>
        <w:t>در کلام آقای شهیدی به نقل از بعض السادة الاعلام اشکال دیگری مطرح شده است که یک اشکال جدید است. آقای شهیدی بعض السادة الاعلام را در مورد آقای سیستانی حفظه الله به کار می‌برند پس ظاهراً این اشکال برای ایشان است.</w:t>
      </w:r>
    </w:p>
    <w:p w14:paraId="7D905791" w14:textId="2D6D3D3A" w:rsidR="00E72B38" w:rsidRPr="00E72B38" w:rsidRDefault="00E72B38" w:rsidP="00C70D2F">
      <w:pPr>
        <w:jc w:val="both"/>
        <w:rPr>
          <w:color w:val="000080"/>
          <w:rtl/>
        </w:rPr>
      </w:pPr>
      <w:r w:rsidRPr="00E72B38">
        <w:rPr>
          <w:rFonts w:hint="cs"/>
          <w:color w:val="000080"/>
          <w:rtl/>
        </w:rPr>
        <w:t>«</w:t>
      </w:r>
      <w:r w:rsidRPr="00E72B38">
        <w:rPr>
          <w:rFonts w:hint="eastAsia"/>
          <w:color w:val="000080"/>
          <w:rtl/>
        </w:rPr>
        <w:t>وثالثة</w:t>
      </w:r>
      <w:r w:rsidRPr="00E72B38">
        <w:rPr>
          <w:color w:val="000080"/>
          <w:rtl/>
        </w:rPr>
        <w:t>: بما حک</w:t>
      </w:r>
      <w:r w:rsidRPr="00E72B38">
        <w:rPr>
          <w:rFonts w:hint="cs"/>
          <w:color w:val="000080"/>
          <w:rtl/>
        </w:rPr>
        <w:t>ی</w:t>
      </w:r>
      <w:r w:rsidRPr="00E72B38">
        <w:rPr>
          <w:color w:val="000080"/>
          <w:rtl/>
        </w:rPr>
        <w:t xml:space="preserve"> عن بعض السادة الأعلام دام ظله من ان هذا الشاهد </w:t>
      </w:r>
      <w:r w:rsidRPr="00E72B38">
        <w:rPr>
          <w:rFonts w:hint="cs"/>
          <w:color w:val="000080"/>
          <w:rtl/>
        </w:rPr>
        <w:t>ی</w:t>
      </w:r>
      <w:r w:rsidRPr="00E72B38">
        <w:rPr>
          <w:rFonts w:hint="eastAsia"/>
          <w:color w:val="000080"/>
          <w:rtl/>
        </w:rPr>
        <w:t>بتن</w:t>
      </w:r>
      <w:r w:rsidRPr="00E72B38">
        <w:rPr>
          <w:rFonts w:hint="cs"/>
          <w:color w:val="000080"/>
          <w:rtl/>
        </w:rPr>
        <w:t>ی</w:t>
      </w:r>
      <w:r w:rsidRPr="00E72B38">
        <w:rPr>
          <w:color w:val="000080"/>
          <w:rtl/>
        </w:rPr>
        <w:t xml:space="preserve"> عل</w:t>
      </w:r>
      <w:r w:rsidRPr="00E72B38">
        <w:rPr>
          <w:rFonts w:hint="cs"/>
          <w:color w:val="000080"/>
          <w:rtl/>
        </w:rPr>
        <w:t>ی</w:t>
      </w:r>
      <w:r w:rsidRPr="00E72B38">
        <w:rPr>
          <w:color w:val="000080"/>
          <w:rtl/>
        </w:rPr>
        <w:t xml:space="preserve"> ان </w:t>
      </w:r>
      <w:r w:rsidRPr="00E72B38">
        <w:rPr>
          <w:rFonts w:hint="cs"/>
          <w:color w:val="000080"/>
          <w:rtl/>
        </w:rPr>
        <w:t>ی</w:t>
      </w:r>
      <w:r w:rsidRPr="00E72B38">
        <w:rPr>
          <w:rFonts w:hint="eastAsia"/>
          <w:color w:val="000080"/>
          <w:rtl/>
        </w:rPr>
        <w:t>کون</w:t>
      </w:r>
      <w:r w:rsidRPr="00E72B38">
        <w:rPr>
          <w:color w:val="000080"/>
          <w:rtl/>
        </w:rPr>
        <w:t xml:space="preserve"> الأوامر جمع الأمر مع انها جمع الآمرة، ح</w:t>
      </w:r>
      <w:r w:rsidRPr="00E72B38">
        <w:rPr>
          <w:rFonts w:hint="cs"/>
          <w:color w:val="000080"/>
          <w:rtl/>
        </w:rPr>
        <w:t>ی</w:t>
      </w:r>
      <w:r w:rsidRPr="00E72B38">
        <w:rPr>
          <w:rFonts w:hint="eastAsia"/>
          <w:color w:val="000080"/>
          <w:rtl/>
        </w:rPr>
        <w:t>ث</w:t>
      </w:r>
      <w:r w:rsidRPr="00E72B38">
        <w:rPr>
          <w:color w:val="000080"/>
          <w:rtl/>
        </w:rPr>
        <w:t xml:space="preserve"> أجمع علماء الأدب عل</w:t>
      </w:r>
      <w:r w:rsidRPr="00E72B38">
        <w:rPr>
          <w:rFonts w:hint="cs"/>
          <w:color w:val="000080"/>
          <w:rtl/>
        </w:rPr>
        <w:t>ی</w:t>
      </w:r>
      <w:r w:rsidRPr="00E72B38">
        <w:rPr>
          <w:color w:val="000080"/>
          <w:rtl/>
        </w:rPr>
        <w:t xml:space="preserve"> انه لا</w:t>
      </w:r>
      <w:r w:rsidRPr="00E72B38">
        <w:rPr>
          <w:rFonts w:hint="cs"/>
          <w:color w:val="000080"/>
          <w:rtl/>
        </w:rPr>
        <w:t>ی</w:t>
      </w:r>
      <w:r w:rsidRPr="00E72B38">
        <w:rPr>
          <w:rFonts w:hint="eastAsia"/>
          <w:color w:val="000080"/>
          <w:rtl/>
        </w:rPr>
        <w:t>جمع</w:t>
      </w:r>
      <w:r w:rsidRPr="00E72B38">
        <w:rPr>
          <w:color w:val="000080"/>
          <w:rtl/>
        </w:rPr>
        <w:t xml:space="preserve"> المصدر عل</w:t>
      </w:r>
      <w:r w:rsidRPr="00E72B38">
        <w:rPr>
          <w:rFonts w:hint="cs"/>
          <w:color w:val="000080"/>
          <w:rtl/>
        </w:rPr>
        <w:t>ی</w:t>
      </w:r>
      <w:r w:rsidRPr="00E72B38">
        <w:rPr>
          <w:color w:val="000080"/>
          <w:rtl/>
        </w:rPr>
        <w:t xml:space="preserve"> فواعل، </w:t>
      </w:r>
      <w:bookmarkStart w:id="9" w:name="_Hlk165402127"/>
      <w:r w:rsidRPr="00E72B38">
        <w:rPr>
          <w:color w:val="000080"/>
          <w:rtl/>
        </w:rPr>
        <w:t>وقد ذکر بعض اهل اللغة کالازهر</w:t>
      </w:r>
      <w:r w:rsidRPr="00E72B38">
        <w:rPr>
          <w:rFonts w:hint="cs"/>
          <w:color w:val="000080"/>
          <w:rtl/>
        </w:rPr>
        <w:t>ی</w:t>
      </w:r>
      <w:r w:rsidRPr="00E72B38">
        <w:rPr>
          <w:color w:val="000080"/>
          <w:rtl/>
        </w:rPr>
        <w:t xml:space="preserve"> ان الأمر ضد النه</w:t>
      </w:r>
      <w:r w:rsidRPr="00E72B38">
        <w:rPr>
          <w:rFonts w:hint="cs"/>
          <w:color w:val="000080"/>
          <w:rtl/>
        </w:rPr>
        <w:t>ی</w:t>
      </w:r>
      <w:r w:rsidRPr="00E72B38">
        <w:rPr>
          <w:color w:val="000080"/>
          <w:rtl/>
        </w:rPr>
        <w:t xml:space="preserve"> واحد الأمور</w:t>
      </w:r>
      <w:bookmarkEnd w:id="9"/>
      <w:r w:rsidRPr="00E72B38">
        <w:rPr>
          <w:rFonts w:hint="cs"/>
          <w:color w:val="000080"/>
          <w:rtl/>
        </w:rPr>
        <w:t>»</w:t>
      </w:r>
      <w:r>
        <w:rPr>
          <w:rStyle w:val="FootnoteReference"/>
          <w:color w:val="000080"/>
          <w:rtl/>
        </w:rPr>
        <w:footnoteReference w:id="22"/>
      </w:r>
    </w:p>
    <w:p w14:paraId="3B36D674" w14:textId="7097740B" w:rsidR="00E72B38" w:rsidRDefault="00570CAB" w:rsidP="00C70D2F">
      <w:pPr>
        <w:jc w:val="both"/>
        <w:rPr>
          <w:rtl/>
        </w:rPr>
      </w:pPr>
      <w:r>
        <w:rPr>
          <w:rFonts w:hint="cs"/>
          <w:rtl/>
        </w:rPr>
        <w:t>عبارت «</w:t>
      </w:r>
      <w:r w:rsidRPr="00570CAB">
        <w:rPr>
          <w:rtl/>
        </w:rPr>
        <w:t>وقد ذکر بعض اهل اللغة کالازهر</w:t>
      </w:r>
      <w:r w:rsidRPr="00570CAB">
        <w:rPr>
          <w:rFonts w:hint="cs"/>
          <w:rtl/>
        </w:rPr>
        <w:t>ی</w:t>
      </w:r>
      <w:r w:rsidRPr="00570CAB">
        <w:rPr>
          <w:rtl/>
        </w:rPr>
        <w:t xml:space="preserve"> ان الأمر ضد النه</w:t>
      </w:r>
      <w:r w:rsidRPr="00570CAB">
        <w:rPr>
          <w:rFonts w:hint="cs"/>
          <w:rtl/>
        </w:rPr>
        <w:t>ی</w:t>
      </w:r>
      <w:r w:rsidRPr="00570CAB">
        <w:rPr>
          <w:rtl/>
        </w:rPr>
        <w:t xml:space="preserve"> واحد الأمور</w:t>
      </w:r>
      <w:r>
        <w:rPr>
          <w:rFonts w:hint="cs"/>
          <w:rtl/>
        </w:rPr>
        <w:t>»</w:t>
      </w:r>
      <w:r w:rsidRPr="00570CAB">
        <w:rPr>
          <w:rFonts w:hint="cs"/>
          <w:rtl/>
        </w:rPr>
        <w:t xml:space="preserve"> </w:t>
      </w:r>
      <w:r>
        <w:rPr>
          <w:rFonts w:hint="cs"/>
          <w:rtl/>
        </w:rPr>
        <w:t xml:space="preserve">اشتباه است؛ </w:t>
      </w:r>
      <w:r w:rsidR="00AF68A6">
        <w:rPr>
          <w:rFonts w:hint="cs"/>
          <w:rtl/>
        </w:rPr>
        <w:t>این</w:t>
      </w:r>
      <w:r w:rsidR="00E72B38">
        <w:rPr>
          <w:rFonts w:hint="cs"/>
          <w:rtl/>
        </w:rPr>
        <w:t xml:space="preserve"> همان</w:t>
      </w:r>
      <w:r w:rsidR="00AF68A6">
        <w:rPr>
          <w:rFonts w:hint="cs"/>
          <w:rtl/>
        </w:rPr>
        <w:t xml:space="preserve"> اشتباه</w:t>
      </w:r>
      <w:r w:rsidR="00E72B38">
        <w:rPr>
          <w:rFonts w:hint="cs"/>
          <w:rtl/>
        </w:rPr>
        <w:t>ی</w:t>
      </w:r>
      <w:r w:rsidR="00AF68A6">
        <w:rPr>
          <w:rFonts w:hint="cs"/>
          <w:rtl/>
        </w:rPr>
        <w:t xml:space="preserve"> است</w:t>
      </w:r>
      <w:r w:rsidR="00E72B38">
        <w:rPr>
          <w:rFonts w:hint="cs"/>
          <w:rtl/>
        </w:rPr>
        <w:t xml:space="preserve"> </w:t>
      </w:r>
      <w:r w:rsidR="00AF68A6">
        <w:rPr>
          <w:rFonts w:hint="cs"/>
          <w:rtl/>
        </w:rPr>
        <w:t xml:space="preserve">که در تاج العروس </w:t>
      </w:r>
      <w:r w:rsidR="00E72B38">
        <w:rPr>
          <w:rFonts w:hint="cs"/>
          <w:rtl/>
        </w:rPr>
        <w:t>رخ داده است و ناشی از</w:t>
      </w:r>
      <w:r w:rsidR="003F0ED4">
        <w:rPr>
          <w:rFonts w:hint="cs"/>
          <w:rtl/>
        </w:rPr>
        <w:t xml:space="preserve"> وقوع</w:t>
      </w:r>
      <w:r w:rsidR="00E72B38">
        <w:rPr>
          <w:rFonts w:hint="cs"/>
          <w:rtl/>
        </w:rPr>
        <w:t xml:space="preserve"> تحریف</w:t>
      </w:r>
      <w:r>
        <w:rPr>
          <w:rFonts w:hint="cs"/>
          <w:rtl/>
        </w:rPr>
        <w:t xml:space="preserve"> در عبارت</w:t>
      </w:r>
      <w:r w:rsidR="00E72B38">
        <w:rPr>
          <w:rFonts w:hint="cs"/>
          <w:rtl/>
        </w:rPr>
        <w:t xml:space="preserve"> است. </w:t>
      </w:r>
      <w:r w:rsidR="00AF68A6">
        <w:rPr>
          <w:rFonts w:hint="cs"/>
          <w:rtl/>
        </w:rPr>
        <w:t xml:space="preserve">در تاج العروس </w:t>
      </w:r>
      <w:r w:rsidR="00E72B38">
        <w:rPr>
          <w:rFonts w:hint="cs"/>
          <w:rtl/>
        </w:rPr>
        <w:t>از استادش</w:t>
      </w:r>
      <w:r w:rsidR="00AF68A6">
        <w:rPr>
          <w:rFonts w:hint="cs"/>
          <w:rtl/>
        </w:rPr>
        <w:t xml:space="preserve"> مطلبی </w:t>
      </w:r>
      <w:r w:rsidR="00E72B38">
        <w:rPr>
          <w:rFonts w:hint="cs"/>
          <w:rtl/>
        </w:rPr>
        <w:t>را از ت</w:t>
      </w:r>
      <w:r w:rsidR="003F0ED4">
        <w:rPr>
          <w:rFonts w:hint="cs"/>
          <w:rtl/>
        </w:rPr>
        <w:t>ه</w:t>
      </w:r>
      <w:r w:rsidR="00E72B38">
        <w:rPr>
          <w:rFonts w:hint="cs"/>
          <w:rtl/>
        </w:rPr>
        <w:t>ذیب اللغة نقل می‌کند که همراه با اشتباه است.</w:t>
      </w:r>
      <w:r w:rsidR="00AF68A6">
        <w:rPr>
          <w:rFonts w:hint="cs"/>
          <w:rtl/>
        </w:rPr>
        <w:t xml:space="preserve"> </w:t>
      </w:r>
      <w:r w:rsidR="00E72B38">
        <w:rPr>
          <w:rFonts w:hint="cs"/>
          <w:rtl/>
        </w:rPr>
        <w:t>عبارت صحیح چنین است: «</w:t>
      </w:r>
      <w:r w:rsidR="00AF68A6">
        <w:rPr>
          <w:rFonts w:hint="cs"/>
          <w:rtl/>
        </w:rPr>
        <w:t>الامر ضد النهی و الامر واحد الامور</w:t>
      </w:r>
      <w:r w:rsidR="00E72B38">
        <w:rPr>
          <w:rFonts w:hint="cs"/>
          <w:rtl/>
        </w:rPr>
        <w:t xml:space="preserve">» که کلمۀ «و الامر» از آن سقط شده است. وی </w:t>
      </w:r>
      <w:r w:rsidR="00AF68A6">
        <w:rPr>
          <w:rFonts w:hint="cs"/>
          <w:rtl/>
        </w:rPr>
        <w:t xml:space="preserve">تصریح </w:t>
      </w:r>
      <w:r w:rsidR="00E72B38">
        <w:rPr>
          <w:rFonts w:hint="cs"/>
          <w:rtl/>
        </w:rPr>
        <w:t>نموده است که معنای امر، متعدد است لذا عبارتی که آقای شهیدی از قول آقای سیستانی نقل نمودند، اشتباه است.</w:t>
      </w:r>
    </w:p>
    <w:p w14:paraId="3D8D4578" w14:textId="1B54C24F" w:rsidR="00F81EA5" w:rsidRDefault="00AF68A6" w:rsidP="00C70D2F">
      <w:pPr>
        <w:jc w:val="both"/>
        <w:rPr>
          <w:rtl/>
        </w:rPr>
      </w:pPr>
      <w:r>
        <w:rPr>
          <w:rFonts w:hint="cs"/>
          <w:rtl/>
        </w:rPr>
        <w:t xml:space="preserve">آقای سیستانی در </w:t>
      </w:r>
      <w:r w:rsidR="00F81EA5">
        <w:rPr>
          <w:rFonts w:hint="cs"/>
          <w:rtl/>
        </w:rPr>
        <w:t>بحث از قاعدۀ لا ضرر</w:t>
      </w:r>
      <w:r w:rsidR="003F0ED4">
        <w:rPr>
          <w:rStyle w:val="FootnoteReference"/>
          <w:rtl/>
        </w:rPr>
        <w:footnoteReference w:id="23"/>
      </w:r>
      <w:r w:rsidR="00F81EA5">
        <w:rPr>
          <w:rFonts w:hint="cs"/>
          <w:rtl/>
        </w:rPr>
        <w:t xml:space="preserve">، نکته‌ای را متعرض می‌شوند مبنی بر این که </w:t>
      </w:r>
      <w:r>
        <w:rPr>
          <w:rFonts w:hint="cs"/>
          <w:rtl/>
        </w:rPr>
        <w:t xml:space="preserve">نقل قول‌های شیخ طوسی </w:t>
      </w:r>
      <w:r w:rsidR="003F0ED4">
        <w:rPr>
          <w:rFonts w:hint="cs"/>
          <w:rtl/>
        </w:rPr>
        <w:t>گاه</w:t>
      </w:r>
      <w:r>
        <w:rPr>
          <w:rFonts w:hint="cs"/>
          <w:rtl/>
        </w:rPr>
        <w:t xml:space="preserve"> با واسطه است </w:t>
      </w:r>
      <w:r w:rsidR="003F0ED4">
        <w:rPr>
          <w:rFonts w:hint="cs"/>
          <w:rtl/>
        </w:rPr>
        <w:t xml:space="preserve">و </w:t>
      </w:r>
      <w:r>
        <w:rPr>
          <w:rFonts w:hint="cs"/>
          <w:rtl/>
        </w:rPr>
        <w:t>گاه بی</w:t>
      </w:r>
      <w:r w:rsidR="003F0ED4">
        <w:rPr>
          <w:rFonts w:hint="cs"/>
          <w:rtl/>
        </w:rPr>
        <w:t>‌</w:t>
      </w:r>
      <w:r>
        <w:rPr>
          <w:rFonts w:hint="cs"/>
          <w:rtl/>
        </w:rPr>
        <w:t>واسطه</w:t>
      </w:r>
      <w:r w:rsidR="00F81EA5">
        <w:rPr>
          <w:rFonts w:hint="cs"/>
          <w:rtl/>
        </w:rPr>
        <w:t xml:space="preserve">؛ </w:t>
      </w:r>
      <w:r w:rsidR="003F0ED4">
        <w:rPr>
          <w:rFonts w:hint="cs"/>
          <w:rtl/>
        </w:rPr>
        <w:t>سپس</w:t>
      </w:r>
      <w:r>
        <w:rPr>
          <w:rFonts w:hint="cs"/>
          <w:rtl/>
        </w:rPr>
        <w:t xml:space="preserve"> شواهدی را ذکر می‌کنند. </w:t>
      </w:r>
      <w:r w:rsidR="00F81EA5">
        <w:rPr>
          <w:rFonts w:hint="cs"/>
          <w:rtl/>
        </w:rPr>
        <w:t xml:space="preserve">در </w:t>
      </w:r>
      <w:r>
        <w:rPr>
          <w:rFonts w:hint="cs"/>
          <w:rtl/>
        </w:rPr>
        <w:t xml:space="preserve">اینجا </w:t>
      </w:r>
      <w:r w:rsidR="00F81EA5">
        <w:rPr>
          <w:rFonts w:hint="cs"/>
          <w:rtl/>
        </w:rPr>
        <w:t>نیز خود</w:t>
      </w:r>
      <w:r>
        <w:rPr>
          <w:rFonts w:hint="cs"/>
          <w:rtl/>
        </w:rPr>
        <w:t xml:space="preserve"> آقای سیستانی نقل </w:t>
      </w:r>
      <w:r w:rsidR="00F81EA5">
        <w:rPr>
          <w:rFonts w:hint="cs"/>
          <w:rtl/>
        </w:rPr>
        <w:t>قول</w:t>
      </w:r>
      <w:r>
        <w:rPr>
          <w:rFonts w:hint="cs"/>
          <w:rtl/>
        </w:rPr>
        <w:t xml:space="preserve"> با واسطه ا</w:t>
      </w:r>
      <w:r w:rsidR="00F81EA5">
        <w:rPr>
          <w:rFonts w:hint="cs"/>
          <w:rtl/>
        </w:rPr>
        <w:t>نجام داده است بی‌آن‌که</w:t>
      </w:r>
      <w:r>
        <w:rPr>
          <w:rFonts w:hint="cs"/>
          <w:rtl/>
        </w:rPr>
        <w:t xml:space="preserve"> واسطه را ذکر </w:t>
      </w:r>
      <w:r w:rsidR="00F81EA5">
        <w:rPr>
          <w:rFonts w:hint="cs"/>
          <w:rtl/>
        </w:rPr>
        <w:t>کند. این نقل قول از تاج العروس است ولی نامی از تاج العروس بیان نشده است.</w:t>
      </w:r>
    </w:p>
    <w:p w14:paraId="26D3E35B" w14:textId="67D06B7F" w:rsidR="00570CAB" w:rsidRDefault="00570CAB" w:rsidP="00C70D2F">
      <w:pPr>
        <w:jc w:val="both"/>
        <w:rPr>
          <w:rtl/>
        </w:rPr>
      </w:pPr>
      <w:r>
        <w:rPr>
          <w:rFonts w:hint="cs"/>
          <w:rtl/>
        </w:rPr>
        <w:lastRenderedPageBreak/>
        <w:t>از قضا در یک</w:t>
      </w:r>
      <w:r w:rsidR="00AF68A6">
        <w:rPr>
          <w:rFonts w:hint="cs"/>
          <w:rtl/>
        </w:rPr>
        <w:t xml:space="preserve"> مقاله‌ای در تقریب</w:t>
      </w:r>
      <w:r>
        <w:rPr>
          <w:rFonts w:hint="cs"/>
          <w:rtl/>
        </w:rPr>
        <w:t xml:space="preserve"> و بررسی </w:t>
      </w:r>
      <w:r w:rsidR="00AF68A6">
        <w:rPr>
          <w:rFonts w:hint="cs"/>
          <w:rtl/>
        </w:rPr>
        <w:t>کلام آقای سیستانی</w:t>
      </w:r>
      <w:r>
        <w:rPr>
          <w:rFonts w:hint="cs"/>
          <w:rtl/>
        </w:rPr>
        <w:t xml:space="preserve"> که</w:t>
      </w:r>
      <w:r w:rsidR="00AF68A6">
        <w:rPr>
          <w:rFonts w:hint="cs"/>
          <w:rtl/>
        </w:rPr>
        <w:t xml:space="preserve"> </w:t>
      </w:r>
      <w:r>
        <w:rPr>
          <w:rFonts w:hint="cs"/>
          <w:rtl/>
        </w:rPr>
        <w:t xml:space="preserve">در ضمن یکی از </w:t>
      </w:r>
      <w:r w:rsidR="00AF68A6">
        <w:rPr>
          <w:rFonts w:hint="cs"/>
          <w:rtl/>
        </w:rPr>
        <w:t>مقالاتم نوشته بودم</w:t>
      </w:r>
      <w:r>
        <w:rPr>
          <w:rFonts w:hint="cs"/>
          <w:rtl/>
        </w:rPr>
        <w:t>،</w:t>
      </w:r>
      <w:r w:rsidR="00AF68A6">
        <w:rPr>
          <w:rFonts w:hint="cs"/>
          <w:rtl/>
        </w:rPr>
        <w:t xml:space="preserve"> به آن نکته فی الجمله اشاره کرده بودم که در همین نقلی که آقای سیستانی دارد اخذ به توسط رخ داده. </w:t>
      </w:r>
      <w:r>
        <w:rPr>
          <w:rFonts w:hint="cs"/>
          <w:rtl/>
        </w:rPr>
        <w:t>ایشان</w:t>
      </w:r>
      <w:r w:rsidR="00AF68A6">
        <w:rPr>
          <w:rFonts w:hint="cs"/>
          <w:rtl/>
        </w:rPr>
        <w:t xml:space="preserve"> </w:t>
      </w:r>
      <w:r>
        <w:rPr>
          <w:rFonts w:hint="cs"/>
          <w:rtl/>
        </w:rPr>
        <w:t>استدلالی</w:t>
      </w:r>
      <w:r w:rsidR="00AF68A6">
        <w:rPr>
          <w:rFonts w:hint="cs"/>
          <w:rtl/>
        </w:rPr>
        <w:t xml:space="preserve"> </w:t>
      </w:r>
      <w:r>
        <w:rPr>
          <w:rFonts w:hint="cs"/>
          <w:rtl/>
        </w:rPr>
        <w:t>را</w:t>
      </w:r>
      <w:r w:rsidR="00AF68A6">
        <w:rPr>
          <w:rFonts w:hint="cs"/>
          <w:rtl/>
        </w:rPr>
        <w:t xml:space="preserve"> ذکر کرده بود </w:t>
      </w:r>
      <w:r>
        <w:rPr>
          <w:rFonts w:hint="cs"/>
          <w:rtl/>
        </w:rPr>
        <w:t>که</w:t>
      </w:r>
      <w:r w:rsidR="00AF68A6">
        <w:rPr>
          <w:rFonts w:hint="cs"/>
          <w:rtl/>
        </w:rPr>
        <w:t xml:space="preserve"> گفتم این استدلال با واسطه است، مستقیم نیست، </w:t>
      </w:r>
      <w:r>
        <w:rPr>
          <w:rFonts w:hint="cs"/>
          <w:rtl/>
        </w:rPr>
        <w:t>کاشف این اخذ با واسطه اشتباهی است که در آن وجود دارد</w:t>
      </w:r>
      <w:r w:rsidR="00AF68A6">
        <w:rPr>
          <w:rFonts w:hint="cs"/>
          <w:rtl/>
        </w:rPr>
        <w:t xml:space="preserve">. یکی از مواردی که نقل با واسطه </w:t>
      </w:r>
      <w:r>
        <w:rPr>
          <w:rFonts w:hint="cs"/>
          <w:rtl/>
        </w:rPr>
        <w:t>را نشان می‌دهد</w:t>
      </w:r>
      <w:r w:rsidR="00AF68A6">
        <w:rPr>
          <w:rFonts w:hint="cs"/>
          <w:rtl/>
        </w:rPr>
        <w:t xml:space="preserve"> اشتباهات است. یک کسی قبلا اشتباه کرده، آن اشتباه به</w:t>
      </w:r>
      <w:r>
        <w:rPr>
          <w:rFonts w:hint="cs"/>
          <w:rtl/>
        </w:rPr>
        <w:t xml:space="preserve"> نفر</w:t>
      </w:r>
      <w:r w:rsidR="00AF68A6">
        <w:rPr>
          <w:rFonts w:hint="cs"/>
          <w:rtl/>
        </w:rPr>
        <w:t xml:space="preserve"> بعدی سرایت کرده </w:t>
      </w:r>
      <w:r w:rsidR="003F0ED4">
        <w:rPr>
          <w:rFonts w:hint="cs"/>
          <w:rtl/>
        </w:rPr>
        <w:t xml:space="preserve">است؛ </w:t>
      </w:r>
      <w:r w:rsidR="00AF68A6">
        <w:rPr>
          <w:rFonts w:hint="cs"/>
          <w:rtl/>
        </w:rPr>
        <w:t xml:space="preserve">و الا اگر آقای سیستانی مستقیم </w:t>
      </w:r>
      <w:r>
        <w:rPr>
          <w:rFonts w:hint="cs"/>
          <w:rtl/>
        </w:rPr>
        <w:t xml:space="preserve">به تهذیب اللغة ازهری </w:t>
      </w:r>
      <w:r w:rsidR="00AF68A6">
        <w:rPr>
          <w:rFonts w:hint="cs"/>
          <w:rtl/>
        </w:rPr>
        <w:t>مراجعه می‌کردند این اشتباه را نمی‌کردند</w:t>
      </w:r>
      <w:r>
        <w:rPr>
          <w:rFonts w:hint="cs"/>
          <w:rtl/>
        </w:rPr>
        <w:t>.</w:t>
      </w:r>
    </w:p>
    <w:p w14:paraId="23F860E1" w14:textId="30DFE93B" w:rsidR="00AF68A6" w:rsidRPr="00CE465E" w:rsidRDefault="00AF68A6" w:rsidP="00C70D2F">
      <w:pPr>
        <w:jc w:val="both"/>
        <w:rPr>
          <w:rtl/>
        </w:rPr>
      </w:pPr>
      <w:r w:rsidRPr="00CE465E">
        <w:rPr>
          <w:rFonts w:hint="cs"/>
          <w:b/>
          <w:bCs/>
          <w:rtl/>
        </w:rPr>
        <w:t>شاگرد:</w:t>
      </w:r>
      <w:r w:rsidRPr="00CE465E">
        <w:rPr>
          <w:rFonts w:hint="cs"/>
          <w:rtl/>
        </w:rPr>
        <w:t xml:space="preserve"> </w:t>
      </w:r>
      <w:r>
        <w:rPr>
          <w:rFonts w:hint="cs"/>
          <w:rtl/>
        </w:rPr>
        <w:t>یک احتمال ضعیف</w:t>
      </w:r>
      <w:r w:rsidR="00570CAB">
        <w:rPr>
          <w:rFonts w:hint="cs"/>
          <w:rtl/>
        </w:rPr>
        <w:t xml:space="preserve"> هم آن است که همان اشتباه توسط ایشان تکرار شده باشد.</w:t>
      </w:r>
    </w:p>
    <w:p w14:paraId="0AA956D5" w14:textId="18BAE917" w:rsidR="00AF68A6" w:rsidRDefault="00AF68A6" w:rsidP="00C70D2F">
      <w:pPr>
        <w:jc w:val="both"/>
        <w:rPr>
          <w:rtl/>
        </w:rPr>
      </w:pPr>
      <w:r w:rsidRPr="00CE465E">
        <w:rPr>
          <w:rFonts w:hint="cs"/>
          <w:b/>
          <w:bCs/>
          <w:rtl/>
        </w:rPr>
        <w:t>استاد:</w:t>
      </w:r>
      <w:r w:rsidRPr="00CE465E">
        <w:rPr>
          <w:rFonts w:hint="cs"/>
          <w:rtl/>
        </w:rPr>
        <w:t xml:space="preserve"> </w:t>
      </w:r>
      <w:r w:rsidR="00570CAB">
        <w:rPr>
          <w:rFonts w:hint="cs"/>
          <w:rtl/>
        </w:rPr>
        <w:t>خیر چنین نیست؛ از</w:t>
      </w:r>
      <w:r>
        <w:rPr>
          <w:rFonts w:hint="cs"/>
          <w:rtl/>
        </w:rPr>
        <w:t xml:space="preserve"> </w:t>
      </w:r>
      <w:r w:rsidR="00A7180D">
        <w:rPr>
          <w:rFonts w:hint="cs"/>
          <w:rtl/>
        </w:rPr>
        <w:t xml:space="preserve">خود </w:t>
      </w:r>
      <w:r>
        <w:rPr>
          <w:rFonts w:hint="cs"/>
          <w:rtl/>
        </w:rPr>
        <w:t>عبارت</w:t>
      </w:r>
      <w:r w:rsidR="00A7180D">
        <w:rPr>
          <w:rFonts w:hint="cs"/>
          <w:rtl/>
        </w:rPr>
        <w:t xml:space="preserve"> نیز پیداست. می‌گوید</w:t>
      </w:r>
      <w:r>
        <w:rPr>
          <w:rFonts w:hint="cs"/>
          <w:rtl/>
        </w:rPr>
        <w:t xml:space="preserve"> اوامر جمع امر نیست</w:t>
      </w:r>
      <w:r w:rsidR="00A7180D">
        <w:rPr>
          <w:rFonts w:hint="cs"/>
          <w:rtl/>
        </w:rPr>
        <w:t>؛</w:t>
      </w:r>
      <w:r>
        <w:rPr>
          <w:rFonts w:hint="cs"/>
          <w:rtl/>
        </w:rPr>
        <w:t xml:space="preserve"> ادامه‌اش هم در همان بحث است و بعدش دو تا نکته دارد. </w:t>
      </w:r>
      <w:r w:rsidR="00A7180D">
        <w:rPr>
          <w:rFonts w:hint="cs"/>
          <w:rtl/>
        </w:rPr>
        <w:t>این</w:t>
      </w:r>
      <w:r>
        <w:rPr>
          <w:rFonts w:hint="cs"/>
          <w:rtl/>
        </w:rPr>
        <w:t xml:space="preserve"> مضمون</w:t>
      </w:r>
      <w:r w:rsidR="00A7180D">
        <w:rPr>
          <w:rFonts w:hint="cs"/>
          <w:rtl/>
        </w:rPr>
        <w:t>،</w:t>
      </w:r>
      <w:r>
        <w:rPr>
          <w:rFonts w:hint="cs"/>
          <w:rtl/>
        </w:rPr>
        <w:t xml:space="preserve"> مضمون مطلبی </w:t>
      </w:r>
      <w:r w:rsidR="00A7180D">
        <w:rPr>
          <w:rFonts w:hint="cs"/>
          <w:rtl/>
        </w:rPr>
        <w:t>است</w:t>
      </w:r>
      <w:r>
        <w:rPr>
          <w:rFonts w:hint="cs"/>
          <w:rtl/>
        </w:rPr>
        <w:t xml:space="preserve"> که تاج العروس از استادش نقل می‌کند.</w:t>
      </w:r>
    </w:p>
    <w:p w14:paraId="1D74DA9C" w14:textId="2A666F66" w:rsidR="00AF68A6" w:rsidRPr="00CE465E" w:rsidRDefault="00AF68A6" w:rsidP="00C70D2F">
      <w:pPr>
        <w:jc w:val="both"/>
        <w:rPr>
          <w:rtl/>
        </w:rPr>
      </w:pPr>
      <w:r w:rsidRPr="00CE465E">
        <w:rPr>
          <w:rFonts w:hint="cs"/>
          <w:b/>
          <w:bCs/>
          <w:rtl/>
        </w:rPr>
        <w:t>شاگرد:</w:t>
      </w:r>
      <w:r w:rsidRPr="00CE465E">
        <w:rPr>
          <w:rFonts w:hint="cs"/>
          <w:rtl/>
        </w:rPr>
        <w:t xml:space="preserve"> </w:t>
      </w:r>
      <w:r>
        <w:rPr>
          <w:rFonts w:hint="cs"/>
          <w:rtl/>
        </w:rPr>
        <w:t xml:space="preserve">علاوه بر اینکه عبارت تهذیب اللغة از لیث است و مراجعه می‌کنیم به </w:t>
      </w:r>
      <w:r w:rsidR="0091760C">
        <w:rPr>
          <w:rFonts w:hint="cs"/>
          <w:rtl/>
        </w:rPr>
        <w:t xml:space="preserve">همان </w:t>
      </w:r>
      <w:r>
        <w:rPr>
          <w:rFonts w:hint="cs"/>
          <w:rtl/>
        </w:rPr>
        <w:t>العین</w:t>
      </w:r>
      <w:r w:rsidR="0091760C">
        <w:rPr>
          <w:rFonts w:hint="cs"/>
          <w:rtl/>
        </w:rPr>
        <w:t>.</w:t>
      </w:r>
    </w:p>
    <w:p w14:paraId="3436F8FA" w14:textId="58D132A3" w:rsidR="009B4252" w:rsidRDefault="00AF68A6" w:rsidP="00C70D2F">
      <w:pPr>
        <w:jc w:val="both"/>
        <w:rPr>
          <w:rtl/>
        </w:rPr>
      </w:pPr>
      <w:r w:rsidRPr="00CE465E">
        <w:rPr>
          <w:rFonts w:hint="cs"/>
          <w:b/>
          <w:bCs/>
          <w:rtl/>
        </w:rPr>
        <w:t>استاد:</w:t>
      </w:r>
      <w:r w:rsidRPr="00CE465E">
        <w:rPr>
          <w:rFonts w:hint="cs"/>
          <w:rtl/>
        </w:rPr>
        <w:t xml:space="preserve"> </w:t>
      </w:r>
      <w:r>
        <w:rPr>
          <w:rFonts w:hint="cs"/>
          <w:rtl/>
        </w:rPr>
        <w:t xml:space="preserve">بله </w:t>
      </w:r>
      <w:r w:rsidR="0091760C">
        <w:rPr>
          <w:rFonts w:hint="cs"/>
          <w:rtl/>
        </w:rPr>
        <w:t>همانطور که گفتیم</w:t>
      </w:r>
      <w:r w:rsidR="003F0ED4">
        <w:rPr>
          <w:rFonts w:hint="cs"/>
          <w:rtl/>
        </w:rPr>
        <w:t>،</w:t>
      </w:r>
      <w:r>
        <w:rPr>
          <w:rFonts w:hint="cs"/>
          <w:rtl/>
        </w:rPr>
        <w:t xml:space="preserve"> </w:t>
      </w:r>
      <w:r w:rsidR="003F0ED4">
        <w:rPr>
          <w:rFonts w:hint="cs"/>
          <w:rtl/>
        </w:rPr>
        <w:t xml:space="preserve">این </w:t>
      </w:r>
      <w:r w:rsidR="0091760C">
        <w:rPr>
          <w:rFonts w:hint="cs"/>
          <w:rtl/>
        </w:rPr>
        <w:t>عبارت در اصل برای</w:t>
      </w:r>
      <w:r>
        <w:rPr>
          <w:rFonts w:hint="cs"/>
          <w:rtl/>
        </w:rPr>
        <w:t xml:space="preserve"> لیث </w:t>
      </w:r>
      <w:r w:rsidR="0091760C">
        <w:rPr>
          <w:rFonts w:hint="cs"/>
          <w:rtl/>
        </w:rPr>
        <w:t xml:space="preserve">است گر چه اندکی متفاوت است. </w:t>
      </w:r>
      <w:r>
        <w:rPr>
          <w:rFonts w:hint="cs"/>
          <w:rtl/>
        </w:rPr>
        <w:t>کتاب العین</w:t>
      </w:r>
      <w:r w:rsidR="00C53DFC">
        <w:rPr>
          <w:rFonts w:hint="cs"/>
          <w:rtl/>
        </w:rPr>
        <w:t xml:space="preserve"> بر اساس نسخۀ موجود</w:t>
      </w:r>
      <w:r>
        <w:rPr>
          <w:rFonts w:hint="cs"/>
          <w:rtl/>
        </w:rPr>
        <w:t xml:space="preserve"> می‌گوید</w:t>
      </w:r>
      <w:r w:rsidR="0091760C">
        <w:rPr>
          <w:rFonts w:hint="cs"/>
          <w:rtl/>
        </w:rPr>
        <w:t>:</w:t>
      </w:r>
      <w:r>
        <w:rPr>
          <w:rFonts w:hint="cs"/>
          <w:rtl/>
        </w:rPr>
        <w:t xml:space="preserve"> </w:t>
      </w:r>
      <w:r w:rsidR="0091760C" w:rsidRPr="003F0ED4">
        <w:rPr>
          <w:rFonts w:hint="cs"/>
          <w:color w:val="000080"/>
          <w:rtl/>
        </w:rPr>
        <w:t>»</w:t>
      </w:r>
      <w:r w:rsidRPr="003F0ED4">
        <w:rPr>
          <w:rFonts w:hint="cs"/>
          <w:color w:val="000080"/>
          <w:rtl/>
        </w:rPr>
        <w:t xml:space="preserve">الامر </w:t>
      </w:r>
      <w:r w:rsidR="003F0ED4">
        <w:rPr>
          <w:rFonts w:hint="cs"/>
          <w:color w:val="000080"/>
          <w:rtl/>
        </w:rPr>
        <w:t xml:space="preserve">واحدً </w:t>
      </w:r>
      <w:r w:rsidRPr="003F0ED4">
        <w:rPr>
          <w:rFonts w:hint="cs"/>
          <w:color w:val="000080"/>
          <w:rtl/>
        </w:rPr>
        <w:t>من امور الناس</w:t>
      </w:r>
      <w:r w:rsidR="0091760C" w:rsidRPr="003F0ED4">
        <w:rPr>
          <w:rFonts w:hint="cs"/>
          <w:color w:val="000080"/>
          <w:rtl/>
        </w:rPr>
        <w:t>»</w:t>
      </w:r>
      <w:r w:rsidR="003F0ED4">
        <w:rPr>
          <w:rStyle w:val="FootnoteReference"/>
          <w:color w:val="000080"/>
          <w:rtl/>
        </w:rPr>
        <w:footnoteReference w:id="24"/>
      </w:r>
      <w:r w:rsidR="0091760C">
        <w:rPr>
          <w:rFonts w:hint="cs"/>
          <w:rtl/>
        </w:rPr>
        <w:t xml:space="preserve"> تعبیر «من امور الناس» هم دارد؛ ولی هر دو از جهت دو تا بودنش مشترک است. در هر دو کلمۀ امر تکرار شده است. فکر می‌کنم</w:t>
      </w:r>
      <w:r w:rsidR="00090D62">
        <w:rPr>
          <w:rFonts w:hint="cs"/>
          <w:rtl/>
        </w:rPr>
        <w:t xml:space="preserve"> </w:t>
      </w:r>
      <w:r w:rsidR="00C53DFC">
        <w:rPr>
          <w:rFonts w:hint="cs"/>
          <w:rtl/>
        </w:rPr>
        <w:t>آن شخص به حافظه‌اش اعتماد کرده بوده و مطلب به شکل درست در حافظه‌اش نبوده است.</w:t>
      </w:r>
    </w:p>
    <w:p w14:paraId="120ED291" w14:textId="77777777" w:rsidR="009B4252" w:rsidRDefault="009B4252" w:rsidP="00C70D2F">
      <w:pPr>
        <w:jc w:val="both"/>
        <w:rPr>
          <w:rtl/>
        </w:rPr>
      </w:pPr>
      <w:r>
        <w:rPr>
          <w:rFonts w:hint="cs"/>
          <w:rtl/>
        </w:rPr>
        <w:t xml:space="preserve">خداوند رحمت کند </w:t>
      </w:r>
      <w:r w:rsidR="00AF68A6">
        <w:rPr>
          <w:rFonts w:hint="cs"/>
          <w:rtl/>
        </w:rPr>
        <w:t>مرحوم آقای روحانی را</w:t>
      </w:r>
      <w:r>
        <w:rPr>
          <w:rFonts w:hint="cs"/>
          <w:rtl/>
        </w:rPr>
        <w:t>. من هنوز معمّم نبودم که بحث فروع علم اجمالی را خدمت ایشان بودم. ایشان در بحث تقریبی را ذکر نمودند و من اشکال کردم که این تقریب مبتنی بر آن است که قاعدۀ فراغ را اماره ندانیم چون اگر قاعدۀ فراغ اماره باشد مثبتاتش حجت می‌شود و این تقریب با اشکال روبرو خواهد شد. ایشان فرمودند کفایه خواندی؟ گفتم نه چون آن زمان هنوز به این قسمت از کفایه که مدّ نظر ایشان بود نرسیده بودم. ایشان فرمودند چون کفایه نخواندی اشکالی ندارد که چنین اشکالاتی را مطرح می‌کنی. ایشان فرمودند محقق خراسانی در کفایه فرموده است لازمۀ اماریت اماره این نیست که مثبتاتش حجت باشد. بعدها دیدم ایشان همین مطلب را در کتاب منتقی الاصول نیز آورده است.</w:t>
      </w:r>
    </w:p>
    <w:p w14:paraId="0DA12DD4" w14:textId="2321E020" w:rsidR="009B4252" w:rsidRDefault="009B4252" w:rsidP="00C70D2F">
      <w:pPr>
        <w:jc w:val="both"/>
        <w:rPr>
          <w:rtl/>
        </w:rPr>
      </w:pPr>
      <w:r>
        <w:rPr>
          <w:rFonts w:hint="cs"/>
          <w:rtl/>
        </w:rPr>
        <w:t>ولی نکتۀ جالب توجه آن است که ایشان مطلب کفایه را درست نقل نکردند. محقق خراسانی</w:t>
      </w:r>
      <w:r w:rsidR="003F0ED4">
        <w:rPr>
          <w:rStyle w:val="FootnoteReference"/>
          <w:rtl/>
        </w:rPr>
        <w:footnoteReference w:id="25"/>
      </w:r>
      <w:r>
        <w:rPr>
          <w:rFonts w:hint="cs"/>
          <w:rtl/>
        </w:rPr>
        <w:t xml:space="preserve"> تصریح نموده است که لازمۀ حجیّت اماریّت اماره، آن است که مثبتاتش هم حجت باشد. </w:t>
      </w:r>
      <w:r w:rsidR="00C53DFC">
        <w:rPr>
          <w:rFonts w:hint="cs"/>
          <w:rtl/>
        </w:rPr>
        <w:t>این مطلب محقق خوئی است</w:t>
      </w:r>
      <w:r w:rsidR="00C70D2F">
        <w:t>.</w:t>
      </w:r>
      <w:r>
        <w:rPr>
          <w:rFonts w:hint="cs"/>
          <w:rtl/>
        </w:rPr>
        <w:t xml:space="preserve"> این اشتباه ناشی از آن است که </w:t>
      </w:r>
      <w:r w:rsidR="00C53DFC">
        <w:rPr>
          <w:rFonts w:hint="cs"/>
          <w:rtl/>
        </w:rPr>
        <w:t>مرحوم آقای روحانی</w:t>
      </w:r>
      <w:r>
        <w:rPr>
          <w:rFonts w:hint="cs"/>
          <w:rtl/>
        </w:rPr>
        <w:t xml:space="preserve"> فرمایش محقق خراسانی را به اشتباه حفظ نموده و</w:t>
      </w:r>
      <w:r w:rsidR="00C53DFC">
        <w:rPr>
          <w:rFonts w:hint="cs"/>
          <w:rtl/>
        </w:rPr>
        <w:t xml:space="preserve"> با تکیه بر</w:t>
      </w:r>
      <w:r>
        <w:rPr>
          <w:rFonts w:hint="cs"/>
          <w:rtl/>
        </w:rPr>
        <w:t xml:space="preserve"> حافظه نقل نموده است و آن زمانی که منتقی را نگاشته نیز با تکیه بر حافظه این مطلب را </w:t>
      </w:r>
      <w:r w:rsidR="00C53DFC">
        <w:rPr>
          <w:rFonts w:hint="cs"/>
          <w:rtl/>
        </w:rPr>
        <w:t xml:space="preserve">از </w:t>
      </w:r>
      <w:r>
        <w:rPr>
          <w:rFonts w:hint="cs"/>
          <w:rtl/>
        </w:rPr>
        <w:t>محقق خراسانی نقل نموده است. مرحوم آقای روحانی تسلط زیادی بر کفایه داشتند؛ اساساً ک</w:t>
      </w:r>
      <w:r w:rsidR="00AF68A6">
        <w:rPr>
          <w:rFonts w:hint="cs"/>
          <w:rtl/>
        </w:rPr>
        <w:t>سانی که ب</w:t>
      </w:r>
      <w:r>
        <w:rPr>
          <w:rFonts w:hint="cs"/>
          <w:rtl/>
        </w:rPr>
        <w:t>ر</w:t>
      </w:r>
      <w:r w:rsidR="00AF68A6">
        <w:rPr>
          <w:rFonts w:hint="cs"/>
          <w:rtl/>
        </w:rPr>
        <w:t xml:space="preserve"> یک کتاب مسلط‌اند</w:t>
      </w:r>
      <w:r>
        <w:rPr>
          <w:rFonts w:hint="cs"/>
          <w:rtl/>
        </w:rPr>
        <w:t>،</w:t>
      </w:r>
      <w:r w:rsidR="00AF68A6">
        <w:rPr>
          <w:rFonts w:hint="cs"/>
          <w:rtl/>
        </w:rPr>
        <w:t xml:space="preserve"> اگر اشتباه حفظ شده باشند</w:t>
      </w:r>
      <w:r>
        <w:rPr>
          <w:rFonts w:hint="cs"/>
          <w:rtl/>
        </w:rPr>
        <w:t>،</w:t>
      </w:r>
      <w:r w:rsidR="00AF68A6">
        <w:rPr>
          <w:rFonts w:hint="cs"/>
          <w:rtl/>
        </w:rPr>
        <w:t xml:space="preserve"> مطلب خیلی خراب می‌شود</w:t>
      </w:r>
      <w:r>
        <w:rPr>
          <w:rFonts w:hint="cs"/>
          <w:rtl/>
        </w:rPr>
        <w:t>.</w:t>
      </w:r>
    </w:p>
    <w:p w14:paraId="69687421" w14:textId="0700BFF5" w:rsidR="00060834" w:rsidRDefault="009B4252" w:rsidP="00C70D2F">
      <w:pPr>
        <w:jc w:val="both"/>
        <w:rPr>
          <w:rtl/>
        </w:rPr>
      </w:pPr>
      <w:r>
        <w:rPr>
          <w:rFonts w:hint="cs"/>
          <w:rtl/>
        </w:rPr>
        <w:t xml:space="preserve"> این در حالی است که محقق خراسانی</w:t>
      </w:r>
      <w:r w:rsidR="00C53DFC">
        <w:rPr>
          <w:rFonts w:hint="cs"/>
          <w:rtl/>
        </w:rPr>
        <w:t xml:space="preserve"> هم در کفایه و هم در حاشیۀ رسائل</w:t>
      </w:r>
      <w:r>
        <w:rPr>
          <w:rFonts w:hint="cs"/>
          <w:rtl/>
        </w:rPr>
        <w:t xml:space="preserve"> بر خلاف فرمایش ایشان تصریح نموده و</w:t>
      </w:r>
      <w:r w:rsidR="00AF68A6">
        <w:rPr>
          <w:rFonts w:hint="cs"/>
          <w:rtl/>
        </w:rPr>
        <w:t xml:space="preserve"> توضیحاتی دارد</w:t>
      </w:r>
      <w:r w:rsidR="00C70D2F">
        <w:rPr>
          <w:rFonts w:hint="cs"/>
          <w:rtl/>
        </w:rPr>
        <w:t xml:space="preserve"> که</w:t>
      </w:r>
      <w:r w:rsidR="00AF68A6">
        <w:rPr>
          <w:rFonts w:hint="cs"/>
          <w:rtl/>
        </w:rPr>
        <w:t xml:space="preserve"> من در آن بحث‌ها مفصل </w:t>
      </w:r>
      <w:r>
        <w:rPr>
          <w:rFonts w:hint="cs"/>
          <w:rtl/>
        </w:rPr>
        <w:t>بدان</w:t>
      </w:r>
      <w:r w:rsidR="00AF68A6">
        <w:rPr>
          <w:rFonts w:hint="cs"/>
          <w:rtl/>
        </w:rPr>
        <w:t xml:space="preserve"> پرداخت</w:t>
      </w:r>
      <w:r>
        <w:rPr>
          <w:rFonts w:hint="cs"/>
          <w:rtl/>
        </w:rPr>
        <w:t>ه‌ا</w:t>
      </w:r>
      <w:r w:rsidR="00AF68A6">
        <w:rPr>
          <w:rFonts w:hint="cs"/>
          <w:rtl/>
        </w:rPr>
        <w:t xml:space="preserve">م. </w:t>
      </w:r>
      <w:r w:rsidR="00060834">
        <w:rPr>
          <w:rFonts w:hint="cs"/>
          <w:rtl/>
        </w:rPr>
        <w:t xml:space="preserve">اشخاص خوش‌حافظه خیلی اوقات با تکیه بر حافظۀ خود مطلبی را نقل می‌کنند و این یکی از معضلات اعتماد به حافظه است. آیت الله والد </w:t>
      </w:r>
      <w:r w:rsidR="00AF68A6">
        <w:rPr>
          <w:rFonts w:hint="cs"/>
          <w:rtl/>
        </w:rPr>
        <w:t>می‌فرمودند مرحوم آ</w:t>
      </w:r>
      <w:r w:rsidR="00060834">
        <w:rPr>
          <w:rFonts w:hint="cs"/>
          <w:rtl/>
        </w:rPr>
        <w:t xml:space="preserve">قای </w:t>
      </w:r>
      <w:r w:rsidR="00AF68A6">
        <w:rPr>
          <w:rFonts w:hint="cs"/>
          <w:rtl/>
        </w:rPr>
        <w:t xml:space="preserve">سید حسن صدر در تأسیس الشیعه‌ اشتباهات تتبعی </w:t>
      </w:r>
      <w:r w:rsidR="00060834">
        <w:rPr>
          <w:rFonts w:hint="cs"/>
          <w:rtl/>
        </w:rPr>
        <w:t>فراوانی دارند.</w:t>
      </w:r>
      <w:r w:rsidR="00C53DFC">
        <w:rPr>
          <w:rFonts w:hint="cs"/>
          <w:rtl/>
        </w:rPr>
        <w:t xml:space="preserve"> مرحوم آقای سید حسن صدر به مرحوم آقای شیخ آقابزرگ اجازه‌ای داده بودند که آیت الله </w:t>
      </w:r>
      <w:r w:rsidR="00C53DFC">
        <w:rPr>
          <w:rFonts w:hint="cs"/>
          <w:rtl/>
        </w:rPr>
        <w:lastRenderedPageBreak/>
        <w:t>والد بر آن حاشیه‌ای مرقوم داشتند و این اجازه با حاشیۀ آ</w:t>
      </w:r>
      <w:r w:rsidR="00C70D2F">
        <w:rPr>
          <w:rFonts w:hint="cs"/>
          <w:rtl/>
        </w:rPr>
        <w:t>ی</w:t>
      </w:r>
      <w:r w:rsidR="00C53DFC">
        <w:rPr>
          <w:rFonts w:hint="cs"/>
          <w:rtl/>
        </w:rPr>
        <w:t>ت الله والد اخیراً نیز به چاپ رسیده است. آیت الله والد برای بازبینی قبل از چاپ آن را به من دادند تا بازبینی کنم. مرحوم آقای سید حسن صدر شخص مطلّع و خوش‌حافظه‌ای بوده و همین تکیه بر حافظه سبب شده اشتباهات تتبعی فراوانی داشته باشد.</w:t>
      </w:r>
    </w:p>
    <w:p w14:paraId="49181402" w14:textId="42D0C4CA" w:rsidR="00060834" w:rsidRDefault="00060834" w:rsidP="00C70D2F">
      <w:pPr>
        <w:jc w:val="both"/>
        <w:rPr>
          <w:rtl/>
        </w:rPr>
      </w:pPr>
      <w:r>
        <w:rPr>
          <w:rFonts w:hint="cs"/>
          <w:rtl/>
        </w:rPr>
        <w:t xml:space="preserve">به نظر می‌رسد شخصی که در تاج العروس مطلب تهذیب اللغة را مطرح کرده، </w:t>
      </w:r>
      <w:r w:rsidR="00AF68A6">
        <w:rPr>
          <w:rFonts w:hint="cs"/>
          <w:rtl/>
        </w:rPr>
        <w:t>به حافظه‌اش اعتماد کرده</w:t>
      </w:r>
      <w:r>
        <w:rPr>
          <w:rFonts w:hint="cs"/>
          <w:rtl/>
        </w:rPr>
        <w:t xml:space="preserve"> است</w:t>
      </w:r>
      <w:r w:rsidR="00AF68A6">
        <w:rPr>
          <w:rFonts w:hint="cs"/>
          <w:rtl/>
        </w:rPr>
        <w:t xml:space="preserve"> و الا </w:t>
      </w:r>
      <w:r>
        <w:rPr>
          <w:rFonts w:hint="cs"/>
          <w:rtl/>
        </w:rPr>
        <w:t>او</w:t>
      </w:r>
      <w:r w:rsidR="00AF68A6">
        <w:rPr>
          <w:rFonts w:hint="cs"/>
          <w:rtl/>
        </w:rPr>
        <w:t xml:space="preserve"> شخصی </w:t>
      </w:r>
      <w:r>
        <w:rPr>
          <w:rFonts w:hint="cs"/>
          <w:rtl/>
        </w:rPr>
        <w:t>ا</w:t>
      </w:r>
      <w:r w:rsidR="00AF68A6">
        <w:rPr>
          <w:rFonts w:hint="cs"/>
          <w:rtl/>
        </w:rPr>
        <w:t>ست که اهل تتبع است</w:t>
      </w:r>
      <w:r>
        <w:rPr>
          <w:rFonts w:hint="cs"/>
          <w:rtl/>
        </w:rPr>
        <w:t>؛</w:t>
      </w:r>
      <w:r w:rsidR="00AF68A6">
        <w:rPr>
          <w:rFonts w:hint="cs"/>
          <w:rtl/>
        </w:rPr>
        <w:t xml:space="preserve"> می‌گوید تمام کتاب‌های لغت را هم  بررسی کردم </w:t>
      </w:r>
      <w:r>
        <w:rPr>
          <w:rFonts w:hint="cs"/>
          <w:rtl/>
        </w:rPr>
        <w:t xml:space="preserve">. </w:t>
      </w:r>
      <w:r w:rsidR="00AF68A6">
        <w:rPr>
          <w:rFonts w:hint="cs"/>
          <w:rtl/>
        </w:rPr>
        <w:t>اصلا بحث‌هایی که دارد پیداست آدم اهل فنی است</w:t>
      </w:r>
      <w:r>
        <w:rPr>
          <w:rFonts w:hint="cs"/>
          <w:rtl/>
        </w:rPr>
        <w:t>.</w:t>
      </w:r>
      <w:r w:rsidR="00AF68A6">
        <w:rPr>
          <w:rFonts w:hint="cs"/>
          <w:rtl/>
        </w:rPr>
        <w:t xml:space="preserve"> خود زبیدی </w:t>
      </w:r>
      <w:r>
        <w:rPr>
          <w:rFonts w:hint="cs"/>
          <w:rtl/>
        </w:rPr>
        <w:t xml:space="preserve">نیز به وی اعتماد می‌کند لذا معلوم است که </w:t>
      </w:r>
      <w:r w:rsidR="00AF68A6">
        <w:rPr>
          <w:rFonts w:hint="cs"/>
          <w:rtl/>
        </w:rPr>
        <w:t>استاد برجسته‌ای است</w:t>
      </w:r>
      <w:r w:rsidR="00C70D2F">
        <w:rPr>
          <w:rFonts w:hint="cs"/>
          <w:rtl/>
        </w:rPr>
        <w:t>.</w:t>
      </w:r>
      <w:r w:rsidR="00C53DFC">
        <w:rPr>
          <w:rFonts w:hint="cs"/>
          <w:rtl/>
        </w:rPr>
        <w:t xml:space="preserve"> ولی به هر حال این مطلب درست نیست.</w:t>
      </w:r>
    </w:p>
    <w:p w14:paraId="52DD290D" w14:textId="6ECFE735" w:rsidR="0069365E" w:rsidRDefault="00060834" w:rsidP="00C70D2F">
      <w:pPr>
        <w:jc w:val="both"/>
        <w:rPr>
          <w:rtl/>
        </w:rPr>
      </w:pPr>
      <w:r>
        <w:rPr>
          <w:rFonts w:hint="cs"/>
          <w:rtl/>
        </w:rPr>
        <w:t>اما</w:t>
      </w:r>
      <w:r w:rsidR="00AF68A6">
        <w:rPr>
          <w:rFonts w:hint="cs"/>
          <w:rtl/>
        </w:rPr>
        <w:t xml:space="preserve"> اینکه</w:t>
      </w:r>
      <w:r>
        <w:rPr>
          <w:rFonts w:hint="cs"/>
          <w:rtl/>
        </w:rPr>
        <w:t xml:space="preserve"> قاعدتاً اوامر نمی‌تواند جمع أمر باشد، صحیح است. وزن فواعل جمع فاعلة است. مثلاً باکیة جمعش بواکی است و نادبة جمعش نوادب است. </w:t>
      </w:r>
      <w:r w:rsidR="00C70D2F">
        <w:rPr>
          <w:rFonts w:hint="cs"/>
          <w:rtl/>
        </w:rPr>
        <w:t xml:space="preserve">پس اوانر علی القاعدة باید جمع آمرة باشد نه جمع امر؛ </w:t>
      </w:r>
      <w:r w:rsidR="00AF68A6">
        <w:rPr>
          <w:rFonts w:hint="cs"/>
          <w:rtl/>
        </w:rPr>
        <w:t xml:space="preserve">ولی اینکه </w:t>
      </w:r>
      <w:r>
        <w:rPr>
          <w:rFonts w:hint="cs"/>
          <w:rtl/>
        </w:rPr>
        <w:t>اوامر</w:t>
      </w:r>
      <w:r w:rsidR="00AF68A6">
        <w:rPr>
          <w:rFonts w:hint="cs"/>
          <w:rtl/>
        </w:rPr>
        <w:t xml:space="preserve"> جمع آمره </w:t>
      </w:r>
      <w:r>
        <w:rPr>
          <w:rFonts w:hint="cs"/>
          <w:rtl/>
        </w:rPr>
        <w:t>ا</w:t>
      </w:r>
      <w:r w:rsidR="00AF68A6">
        <w:rPr>
          <w:rFonts w:hint="cs"/>
          <w:rtl/>
        </w:rPr>
        <w:t xml:space="preserve">ست </w:t>
      </w:r>
      <w:r>
        <w:rPr>
          <w:rFonts w:hint="cs"/>
          <w:rtl/>
        </w:rPr>
        <w:t xml:space="preserve">را صریحاً در جایی ندیدم. </w:t>
      </w:r>
      <w:r w:rsidR="00AF68A6">
        <w:rPr>
          <w:rFonts w:hint="cs"/>
          <w:rtl/>
        </w:rPr>
        <w:t xml:space="preserve">آقای شهیدی </w:t>
      </w:r>
      <w:r w:rsidR="0069365E">
        <w:rPr>
          <w:rFonts w:hint="cs"/>
          <w:rtl/>
        </w:rPr>
        <w:t>از آقای سیستانی نقل کردند که اوامر جمع آمرة است نه جمع امر؛ سپس به ایشان اشکال نموده است که:</w:t>
      </w:r>
    </w:p>
    <w:p w14:paraId="0DE1E776" w14:textId="4DC218E3" w:rsidR="0069365E" w:rsidRDefault="0069365E" w:rsidP="00A95163">
      <w:pPr>
        <w:jc w:val="both"/>
        <w:rPr>
          <w:rtl/>
        </w:rPr>
      </w:pPr>
      <w:r w:rsidRPr="0069365E">
        <w:rPr>
          <w:rFonts w:hint="cs"/>
          <w:color w:val="000080"/>
          <w:rtl/>
        </w:rPr>
        <w:t>«</w:t>
      </w:r>
      <w:r w:rsidR="00A95163" w:rsidRPr="00A95163">
        <w:rPr>
          <w:color w:val="000080"/>
          <w:rtl/>
        </w:rPr>
        <w:t>کما لا</w:t>
      </w:r>
      <w:r w:rsidR="00A95163" w:rsidRPr="00A95163">
        <w:rPr>
          <w:rFonts w:hint="cs"/>
          <w:color w:val="000080"/>
          <w:rtl/>
        </w:rPr>
        <w:t>ی</w:t>
      </w:r>
      <w:r w:rsidR="00A95163" w:rsidRPr="00A95163">
        <w:rPr>
          <w:rFonts w:hint="eastAsia"/>
          <w:color w:val="000080"/>
          <w:rtl/>
        </w:rPr>
        <w:t>تمّ</w:t>
      </w:r>
      <w:r w:rsidR="00A95163" w:rsidRPr="00A95163">
        <w:rPr>
          <w:color w:val="000080"/>
          <w:rtl/>
        </w:rPr>
        <w:t xml:space="preserve"> الجواب الثالث، ح</w:t>
      </w:r>
      <w:r w:rsidR="00A95163" w:rsidRPr="00A95163">
        <w:rPr>
          <w:rFonts w:hint="cs"/>
          <w:color w:val="000080"/>
          <w:rtl/>
        </w:rPr>
        <w:t>ی</w:t>
      </w:r>
      <w:r w:rsidR="00A95163" w:rsidRPr="00A95163">
        <w:rPr>
          <w:rFonts w:hint="eastAsia"/>
          <w:color w:val="000080"/>
          <w:rtl/>
        </w:rPr>
        <w:t>ث</w:t>
      </w:r>
      <w:r w:rsidR="00A95163" w:rsidRPr="00A95163">
        <w:rPr>
          <w:color w:val="000080"/>
          <w:rtl/>
        </w:rPr>
        <w:t xml:space="preserve"> ان کون الأوامر جمع الآمرة خلاف الظاهر، فانه</w:t>
      </w:r>
      <w:r w:rsidR="00A95163">
        <w:rPr>
          <w:rFonts w:hint="cs"/>
          <w:color w:val="000080"/>
          <w:rtl/>
        </w:rPr>
        <w:t xml:space="preserve"> </w:t>
      </w:r>
      <w:r w:rsidR="00A95163" w:rsidRPr="00A95163">
        <w:rPr>
          <w:rFonts w:hint="eastAsia"/>
          <w:color w:val="000080"/>
          <w:rtl/>
        </w:rPr>
        <w:t>ل</w:t>
      </w:r>
      <w:r w:rsidR="00A95163" w:rsidRPr="00A95163">
        <w:rPr>
          <w:rFonts w:hint="cs"/>
          <w:color w:val="000080"/>
          <w:rtl/>
        </w:rPr>
        <w:t>ی</w:t>
      </w:r>
      <w:r w:rsidR="00A95163" w:rsidRPr="00A95163">
        <w:rPr>
          <w:rFonts w:hint="eastAsia"/>
          <w:color w:val="000080"/>
          <w:rtl/>
        </w:rPr>
        <w:t>س</w:t>
      </w:r>
      <w:r w:rsidR="00A95163" w:rsidRPr="00A95163">
        <w:rPr>
          <w:color w:val="000080"/>
          <w:rtl/>
        </w:rPr>
        <w:t xml:space="preserve"> المتبادر من مثل قوله عل</w:t>
      </w:r>
      <w:r w:rsidR="00A95163" w:rsidRPr="00A95163">
        <w:rPr>
          <w:rFonts w:hint="cs"/>
          <w:color w:val="000080"/>
          <w:rtl/>
        </w:rPr>
        <w:t>ی</w:t>
      </w:r>
      <w:r w:rsidR="00A95163" w:rsidRPr="00A95163">
        <w:rPr>
          <w:rFonts w:hint="eastAsia"/>
          <w:color w:val="000080"/>
          <w:rtl/>
        </w:rPr>
        <w:t>ه‌السلام</w:t>
      </w:r>
      <w:r w:rsidR="00A95163" w:rsidRPr="00A95163">
        <w:rPr>
          <w:color w:val="000080"/>
          <w:rtl/>
        </w:rPr>
        <w:t xml:space="preserve"> "وخالفت بعض اوامرک" أن</w:t>
      </w:r>
      <w:r w:rsidR="00A95163" w:rsidRPr="00A95163">
        <w:rPr>
          <w:rFonts w:hint="cs"/>
          <w:color w:val="000080"/>
          <w:rtl/>
        </w:rPr>
        <w:t>ی</w:t>
      </w:r>
      <w:r w:rsidR="00A95163" w:rsidRPr="00A95163">
        <w:rPr>
          <w:color w:val="000080"/>
          <w:rtl/>
        </w:rPr>
        <w:t xml:space="preserve"> خالفت بعض ص</w:t>
      </w:r>
      <w:r w:rsidR="00A95163" w:rsidRPr="00A95163">
        <w:rPr>
          <w:rFonts w:hint="cs"/>
          <w:color w:val="000080"/>
          <w:rtl/>
        </w:rPr>
        <w:t>ی</w:t>
      </w:r>
      <w:r w:rsidR="00A95163" w:rsidRPr="00A95163">
        <w:rPr>
          <w:rFonts w:hint="eastAsia"/>
          <w:color w:val="000080"/>
          <w:rtl/>
        </w:rPr>
        <w:t>غ</w:t>
      </w:r>
      <w:r w:rsidR="00A95163" w:rsidRPr="00A95163">
        <w:rPr>
          <w:color w:val="000080"/>
          <w:rtl/>
        </w:rPr>
        <w:t xml:space="preserve"> أمرک، فالظاهر ان الأوامر جمع الأمر وان کان خلاف الق</w:t>
      </w:r>
      <w:r w:rsidR="00A95163" w:rsidRPr="00A95163">
        <w:rPr>
          <w:rFonts w:hint="cs"/>
          <w:color w:val="000080"/>
          <w:rtl/>
        </w:rPr>
        <w:t>ی</w:t>
      </w:r>
      <w:r w:rsidR="00A95163" w:rsidRPr="00A95163">
        <w:rPr>
          <w:rFonts w:hint="eastAsia"/>
          <w:color w:val="000080"/>
          <w:rtl/>
        </w:rPr>
        <w:t>اس،</w:t>
      </w:r>
      <w:r w:rsidR="00A95163" w:rsidRPr="00A95163">
        <w:rPr>
          <w:color w:val="000080"/>
          <w:rtl/>
        </w:rPr>
        <w:t xml:space="preserve"> کما ان النواه</w:t>
      </w:r>
      <w:r w:rsidR="00A95163" w:rsidRPr="00A95163">
        <w:rPr>
          <w:rFonts w:hint="cs"/>
          <w:color w:val="000080"/>
          <w:rtl/>
        </w:rPr>
        <w:t>ی</w:t>
      </w:r>
      <w:r w:rsidR="00A95163" w:rsidRPr="00A95163">
        <w:rPr>
          <w:color w:val="000080"/>
          <w:rtl/>
        </w:rPr>
        <w:t xml:space="preserve"> جمع النه</w:t>
      </w:r>
      <w:r w:rsidR="00A95163" w:rsidRPr="00A95163">
        <w:rPr>
          <w:rFonts w:hint="cs"/>
          <w:color w:val="000080"/>
          <w:rtl/>
        </w:rPr>
        <w:t>ی</w:t>
      </w:r>
      <w:r w:rsidR="00A95163">
        <w:rPr>
          <w:rFonts w:hint="cs"/>
          <w:color w:val="000080"/>
          <w:rtl/>
        </w:rPr>
        <w:t>»</w:t>
      </w:r>
      <w:r w:rsidR="00A95163">
        <w:rPr>
          <w:rStyle w:val="FootnoteReference"/>
          <w:color w:val="000080"/>
          <w:rtl/>
        </w:rPr>
        <w:footnoteReference w:id="26"/>
      </w:r>
    </w:p>
    <w:p w14:paraId="1F903DCC" w14:textId="27091DA6" w:rsidR="00AF68A6" w:rsidRPr="00CE465E" w:rsidRDefault="00AF68A6" w:rsidP="00C70D2F">
      <w:pPr>
        <w:jc w:val="both"/>
        <w:rPr>
          <w:rtl/>
        </w:rPr>
      </w:pPr>
      <w:r>
        <w:rPr>
          <w:rFonts w:hint="cs"/>
          <w:rtl/>
        </w:rPr>
        <w:t xml:space="preserve"> </w:t>
      </w:r>
      <w:r w:rsidR="0069365E">
        <w:rPr>
          <w:rFonts w:hint="cs"/>
          <w:rtl/>
        </w:rPr>
        <w:t xml:space="preserve">به نظر می‌رسد </w:t>
      </w:r>
      <w:r w:rsidR="00E612B4">
        <w:rPr>
          <w:rFonts w:hint="cs"/>
          <w:rtl/>
        </w:rPr>
        <w:t>آ</w:t>
      </w:r>
      <w:r w:rsidR="0069365E">
        <w:rPr>
          <w:rFonts w:hint="cs"/>
          <w:rtl/>
        </w:rPr>
        <w:t xml:space="preserve">قای شهیدی نکتۀ بحث را به درستی درک نکرده است. در مصباح المنیر فیومی، بدین مطلب اشاره شده بود که اوامر جمع چه </w:t>
      </w:r>
      <w:r w:rsidR="00A95163">
        <w:rPr>
          <w:rFonts w:hint="cs"/>
          <w:rtl/>
        </w:rPr>
        <w:t>چیزی</w:t>
      </w:r>
      <w:r w:rsidR="0069365E">
        <w:rPr>
          <w:rFonts w:hint="cs"/>
          <w:rtl/>
        </w:rPr>
        <w:t xml:space="preserve"> است. </w:t>
      </w:r>
      <w:r w:rsidR="00E612B4">
        <w:rPr>
          <w:rFonts w:hint="cs"/>
          <w:rtl/>
        </w:rPr>
        <w:t xml:space="preserve">وی گفت آمرة مصدر به معنای اسم مفعول است که جمعش شده است اوامر. </w:t>
      </w:r>
      <w:r w:rsidR="0069365E">
        <w:rPr>
          <w:rFonts w:hint="cs"/>
          <w:rtl/>
        </w:rPr>
        <w:t>در توضیح  کلام فیومی باید دانست، در</w:t>
      </w:r>
      <w:r>
        <w:rPr>
          <w:rFonts w:hint="cs"/>
          <w:rtl/>
        </w:rPr>
        <w:t xml:space="preserve"> </w:t>
      </w:r>
      <w:r w:rsidR="0069365E">
        <w:rPr>
          <w:rFonts w:hint="cs"/>
          <w:rtl/>
        </w:rPr>
        <w:t>کتب لغت از جمله المحکم</w:t>
      </w:r>
      <w:r w:rsidR="00A95163">
        <w:rPr>
          <w:rStyle w:val="FootnoteReference"/>
          <w:rtl/>
        </w:rPr>
        <w:footnoteReference w:id="27"/>
      </w:r>
      <w:r w:rsidR="0069365E">
        <w:rPr>
          <w:rFonts w:hint="cs"/>
          <w:rtl/>
        </w:rPr>
        <w:t xml:space="preserve"> و قاموس المحیط</w:t>
      </w:r>
      <w:r w:rsidR="00A95163">
        <w:rPr>
          <w:rStyle w:val="FootnoteReference"/>
          <w:rtl/>
        </w:rPr>
        <w:footnoteReference w:id="28"/>
      </w:r>
      <w:r>
        <w:rPr>
          <w:rFonts w:hint="cs"/>
          <w:rtl/>
        </w:rPr>
        <w:t xml:space="preserve">  تصریح کردند که یکی از مصادر </w:t>
      </w:r>
      <w:r w:rsidR="0069365E">
        <w:rPr>
          <w:rFonts w:hint="cs"/>
          <w:rtl/>
        </w:rPr>
        <w:t>«</w:t>
      </w:r>
      <w:r>
        <w:rPr>
          <w:rFonts w:hint="cs"/>
          <w:rtl/>
        </w:rPr>
        <w:t>امر یأمر</w:t>
      </w:r>
      <w:r w:rsidR="0069365E">
        <w:rPr>
          <w:rFonts w:hint="cs"/>
          <w:rtl/>
        </w:rPr>
        <w:t>»</w:t>
      </w:r>
      <w:r>
        <w:rPr>
          <w:rFonts w:hint="cs"/>
          <w:rtl/>
        </w:rPr>
        <w:t xml:space="preserve"> </w:t>
      </w:r>
      <w:r w:rsidR="0069365E">
        <w:rPr>
          <w:rFonts w:hint="cs"/>
          <w:rtl/>
        </w:rPr>
        <w:t>«</w:t>
      </w:r>
      <w:r>
        <w:rPr>
          <w:rFonts w:hint="cs"/>
          <w:rtl/>
        </w:rPr>
        <w:t>آمر</w:t>
      </w:r>
      <w:r w:rsidR="0069365E">
        <w:rPr>
          <w:rFonts w:hint="cs"/>
          <w:rtl/>
        </w:rPr>
        <w:t>ة»</w:t>
      </w:r>
      <w:r>
        <w:rPr>
          <w:rFonts w:hint="cs"/>
          <w:rtl/>
        </w:rPr>
        <w:t xml:space="preserve"> است</w:t>
      </w:r>
      <w:r w:rsidR="0069365E">
        <w:rPr>
          <w:rFonts w:hint="cs"/>
          <w:rtl/>
        </w:rPr>
        <w:t>.</w:t>
      </w:r>
    </w:p>
    <w:p w14:paraId="7B9F7D6B" w14:textId="479E172E" w:rsidR="00AF68A6" w:rsidRPr="00CE465E" w:rsidRDefault="00AF68A6" w:rsidP="00C70D2F">
      <w:pPr>
        <w:jc w:val="both"/>
        <w:rPr>
          <w:rtl/>
        </w:rPr>
      </w:pPr>
      <w:r w:rsidRPr="00CE465E">
        <w:rPr>
          <w:rFonts w:hint="cs"/>
          <w:b/>
          <w:bCs/>
          <w:rtl/>
        </w:rPr>
        <w:t>شاگرد:</w:t>
      </w:r>
      <w:r w:rsidRPr="00CE465E">
        <w:rPr>
          <w:rFonts w:hint="cs"/>
          <w:rtl/>
        </w:rPr>
        <w:t xml:space="preserve"> </w:t>
      </w:r>
      <w:r>
        <w:rPr>
          <w:rFonts w:hint="cs"/>
          <w:rtl/>
        </w:rPr>
        <w:t xml:space="preserve">سید علی خان مدنی در </w:t>
      </w:r>
      <w:r w:rsidRPr="00094A63">
        <w:rPr>
          <w:rFonts w:hint="cs"/>
          <w:rtl/>
        </w:rPr>
        <w:t>الطراز</w:t>
      </w:r>
      <w:r>
        <w:rPr>
          <w:rFonts w:hint="cs"/>
          <w:rtl/>
        </w:rPr>
        <w:t xml:space="preserve"> الاول </w:t>
      </w:r>
      <w:r w:rsidR="0069365E">
        <w:rPr>
          <w:rFonts w:hint="cs"/>
          <w:rtl/>
        </w:rPr>
        <w:t>تصریح نموده است که</w:t>
      </w:r>
      <w:r>
        <w:rPr>
          <w:rFonts w:hint="cs"/>
          <w:rtl/>
        </w:rPr>
        <w:t xml:space="preserve"> اوامر جمع آمر</w:t>
      </w:r>
      <w:r w:rsidR="0069365E">
        <w:rPr>
          <w:rFonts w:hint="cs"/>
          <w:rtl/>
        </w:rPr>
        <w:t>ة</w:t>
      </w:r>
      <w:r>
        <w:rPr>
          <w:rFonts w:hint="cs"/>
          <w:rtl/>
        </w:rPr>
        <w:t xml:space="preserve"> علی </w:t>
      </w:r>
      <w:r w:rsidR="0069365E">
        <w:rPr>
          <w:rFonts w:hint="cs"/>
          <w:rtl/>
        </w:rPr>
        <w:t>فاع</w:t>
      </w:r>
      <w:r>
        <w:rPr>
          <w:rFonts w:hint="cs"/>
          <w:rtl/>
        </w:rPr>
        <w:t>ل</w:t>
      </w:r>
      <w:r w:rsidR="0069365E">
        <w:rPr>
          <w:rFonts w:hint="cs"/>
          <w:rtl/>
        </w:rPr>
        <w:t>ة</w:t>
      </w:r>
      <w:r>
        <w:rPr>
          <w:rFonts w:hint="cs"/>
          <w:rtl/>
        </w:rPr>
        <w:t xml:space="preserve"> مصدرا</w:t>
      </w:r>
      <w:r w:rsidR="00A95163">
        <w:rPr>
          <w:rFonts w:hint="cs"/>
          <w:rtl/>
        </w:rPr>
        <w:t>َ</w:t>
      </w:r>
      <w:r>
        <w:rPr>
          <w:rFonts w:hint="cs"/>
          <w:rtl/>
        </w:rPr>
        <w:t xml:space="preserve"> فی المعنی کالوادیة و الکاذبة</w:t>
      </w:r>
      <w:r w:rsidR="0069365E">
        <w:rPr>
          <w:rFonts w:hint="cs"/>
          <w:rtl/>
        </w:rPr>
        <w:t>.</w:t>
      </w:r>
    </w:p>
    <w:p w14:paraId="18BD4537" w14:textId="77777777" w:rsidR="0069365E" w:rsidRDefault="00AF68A6" w:rsidP="00C70D2F">
      <w:pPr>
        <w:jc w:val="both"/>
        <w:rPr>
          <w:rtl/>
        </w:rPr>
      </w:pPr>
      <w:r w:rsidRPr="00CE465E">
        <w:rPr>
          <w:rFonts w:hint="cs"/>
          <w:b/>
          <w:bCs/>
          <w:rtl/>
        </w:rPr>
        <w:t>استاد:</w:t>
      </w:r>
      <w:r w:rsidRPr="00CE465E">
        <w:rPr>
          <w:rFonts w:hint="cs"/>
          <w:rtl/>
        </w:rPr>
        <w:t xml:space="preserve"> </w:t>
      </w:r>
      <w:r w:rsidR="0069365E">
        <w:rPr>
          <w:rFonts w:hint="cs"/>
          <w:rtl/>
        </w:rPr>
        <w:t>بله در این عبارت به خوبی</w:t>
      </w:r>
      <w:r>
        <w:rPr>
          <w:rFonts w:hint="cs"/>
          <w:rtl/>
        </w:rPr>
        <w:t xml:space="preserve"> تصریح</w:t>
      </w:r>
      <w:r w:rsidR="0069365E">
        <w:rPr>
          <w:rFonts w:hint="cs"/>
          <w:rtl/>
        </w:rPr>
        <w:t xml:space="preserve"> شده</w:t>
      </w:r>
      <w:r>
        <w:rPr>
          <w:rFonts w:hint="cs"/>
          <w:rtl/>
        </w:rPr>
        <w:t xml:space="preserve"> است.</w:t>
      </w:r>
    </w:p>
    <w:p w14:paraId="33D56982" w14:textId="33DB3836" w:rsidR="00CD61E0" w:rsidRDefault="00CD61E0" w:rsidP="00A95163">
      <w:pPr>
        <w:jc w:val="both"/>
        <w:rPr>
          <w:rtl/>
        </w:rPr>
      </w:pPr>
      <w:r>
        <w:rPr>
          <w:rFonts w:hint="cs"/>
          <w:rtl/>
        </w:rPr>
        <w:t>در</w:t>
      </w:r>
      <w:r w:rsidR="00AF68A6">
        <w:rPr>
          <w:rFonts w:hint="cs"/>
          <w:rtl/>
        </w:rPr>
        <w:t xml:space="preserve"> المعجم</w:t>
      </w:r>
      <w:r>
        <w:rPr>
          <w:rFonts w:hint="cs"/>
          <w:rtl/>
        </w:rPr>
        <w:t xml:space="preserve"> صفحۀ 112</w:t>
      </w:r>
      <w:r w:rsidR="00AF68A6">
        <w:rPr>
          <w:rFonts w:hint="cs"/>
          <w:rtl/>
        </w:rPr>
        <w:t xml:space="preserve"> می‌گوید</w:t>
      </w:r>
      <w:r>
        <w:rPr>
          <w:rFonts w:hint="cs"/>
          <w:rtl/>
        </w:rPr>
        <w:t>:</w:t>
      </w:r>
      <w:r w:rsidR="00AF68A6">
        <w:rPr>
          <w:rFonts w:hint="cs"/>
          <w:rtl/>
        </w:rPr>
        <w:t xml:space="preserve"> </w:t>
      </w:r>
      <w:r w:rsidRPr="00CD61E0">
        <w:rPr>
          <w:rFonts w:hint="cs"/>
          <w:color w:val="000080"/>
          <w:rtl/>
        </w:rPr>
        <w:t>«</w:t>
      </w:r>
      <w:r w:rsidR="00AF68A6" w:rsidRPr="00CD61E0">
        <w:rPr>
          <w:rFonts w:hint="cs"/>
          <w:color w:val="000080"/>
          <w:rtl/>
        </w:rPr>
        <w:t>الامر ضد النهی کالامار و الایمار بکسبهما و الآمرة علی فاعل</w:t>
      </w:r>
      <w:r w:rsidR="00E612B4">
        <w:rPr>
          <w:rFonts w:hint="cs"/>
          <w:color w:val="000080"/>
          <w:rtl/>
        </w:rPr>
        <w:t>ة</w:t>
      </w:r>
      <w:r w:rsidRPr="00CD61E0">
        <w:rPr>
          <w:rFonts w:hint="cs"/>
          <w:color w:val="000080"/>
          <w:rtl/>
        </w:rPr>
        <w:t>»</w:t>
      </w:r>
      <w:r w:rsidR="00E612B4" w:rsidRPr="00A95163">
        <w:rPr>
          <w:rFonts w:hint="cs"/>
          <w:rtl/>
        </w:rPr>
        <w:t>متأسفانه آمره در این چاپ، در سطر جداگانه قرار داده است ولی باید در ادامه بیاید. می‌گوید</w:t>
      </w:r>
      <w:r w:rsidR="00E612B4">
        <w:rPr>
          <w:rFonts w:hint="cs"/>
          <w:color w:val="000080"/>
          <w:rtl/>
        </w:rPr>
        <w:t xml:space="preserve"> </w:t>
      </w:r>
      <w:r w:rsidR="00AF68A6">
        <w:rPr>
          <w:rFonts w:hint="cs"/>
          <w:rtl/>
        </w:rPr>
        <w:t>امر و اِمار و ایمار و آمر</w:t>
      </w:r>
      <w:r>
        <w:rPr>
          <w:rFonts w:hint="cs"/>
          <w:rtl/>
        </w:rPr>
        <w:t>ة</w:t>
      </w:r>
      <w:r w:rsidR="00AF68A6">
        <w:rPr>
          <w:rFonts w:hint="cs"/>
          <w:rtl/>
        </w:rPr>
        <w:t xml:space="preserve"> بر وزن فاعل</w:t>
      </w:r>
      <w:r>
        <w:rPr>
          <w:rFonts w:hint="cs"/>
          <w:rtl/>
        </w:rPr>
        <w:t>ة</w:t>
      </w:r>
      <w:r w:rsidR="00AF68A6">
        <w:rPr>
          <w:rFonts w:hint="cs"/>
          <w:rtl/>
        </w:rPr>
        <w:t xml:space="preserve"> </w:t>
      </w:r>
      <w:r>
        <w:rPr>
          <w:rFonts w:hint="cs"/>
          <w:rtl/>
        </w:rPr>
        <w:t>همۀ این‌ها</w:t>
      </w:r>
      <w:r w:rsidR="00AF68A6">
        <w:rPr>
          <w:rFonts w:hint="cs"/>
          <w:rtl/>
        </w:rPr>
        <w:t xml:space="preserve"> مصدر هستند</w:t>
      </w:r>
      <w:r w:rsidR="00E612B4">
        <w:rPr>
          <w:rFonts w:hint="cs"/>
          <w:rtl/>
        </w:rPr>
        <w:t>. حال چه امر را با باء متعدی کنیم</w:t>
      </w:r>
      <w:r w:rsidR="00A95163">
        <w:rPr>
          <w:rFonts w:hint="cs"/>
          <w:rtl/>
        </w:rPr>
        <w:t xml:space="preserve"> و بگوییم</w:t>
      </w:r>
      <w:r w:rsidR="00E612B4">
        <w:rPr>
          <w:rFonts w:hint="cs"/>
          <w:rtl/>
        </w:rPr>
        <w:t xml:space="preserve"> «امر بکذا» و چه بدون باء.</w:t>
      </w:r>
    </w:p>
    <w:p w14:paraId="6830CB4D" w14:textId="1FA0496E" w:rsidR="00D83741" w:rsidRDefault="00CD61E0" w:rsidP="00C70D2F">
      <w:pPr>
        <w:jc w:val="both"/>
        <w:rPr>
          <w:rtl/>
        </w:rPr>
      </w:pPr>
      <w:r>
        <w:rPr>
          <w:rFonts w:hint="cs"/>
          <w:rtl/>
        </w:rPr>
        <w:t xml:space="preserve">گفتنی است که گاه متعلق دستور را با حرف باء بیان می‌کنیم. </w:t>
      </w:r>
      <w:r w:rsidR="00AF68A6">
        <w:rPr>
          <w:rFonts w:hint="cs"/>
          <w:rtl/>
        </w:rPr>
        <w:t>مثلا</w:t>
      </w:r>
      <w:r w:rsidR="00D83741">
        <w:rPr>
          <w:rFonts w:hint="cs"/>
          <w:rtl/>
        </w:rPr>
        <w:t>ً</w:t>
      </w:r>
      <w:r w:rsidR="00AF68A6">
        <w:rPr>
          <w:rFonts w:hint="cs"/>
          <w:rtl/>
        </w:rPr>
        <w:t xml:space="preserve"> می‌گوییم </w:t>
      </w:r>
      <w:r w:rsidR="00D83741">
        <w:rPr>
          <w:rFonts w:hint="cs"/>
          <w:rtl/>
        </w:rPr>
        <w:t>«</w:t>
      </w:r>
      <w:r w:rsidR="00AF68A6">
        <w:rPr>
          <w:rFonts w:hint="cs"/>
          <w:rtl/>
        </w:rPr>
        <w:t>ا</w:t>
      </w:r>
      <w:r w:rsidR="00D83741">
        <w:rPr>
          <w:rFonts w:hint="cs"/>
          <w:rtl/>
        </w:rPr>
        <w:t>َ</w:t>
      </w:r>
      <w:r w:rsidR="00AF68A6">
        <w:rPr>
          <w:rFonts w:hint="cs"/>
          <w:rtl/>
        </w:rPr>
        <w:t>ط</w:t>
      </w:r>
      <w:r w:rsidR="00D83741">
        <w:rPr>
          <w:rFonts w:hint="cs"/>
          <w:rtl/>
        </w:rPr>
        <w:t>ِ</w:t>
      </w:r>
      <w:r w:rsidR="00AF68A6">
        <w:rPr>
          <w:rFonts w:hint="cs"/>
          <w:rtl/>
        </w:rPr>
        <w:t xml:space="preserve">ع امری الذی امرتک </w:t>
      </w:r>
      <w:r w:rsidR="00AF68A6" w:rsidRPr="00D83741">
        <w:rPr>
          <w:rFonts w:hint="cs"/>
          <w:b/>
          <w:bCs/>
          <w:u w:val="single"/>
          <w:rtl/>
        </w:rPr>
        <w:t>به</w:t>
      </w:r>
      <w:r w:rsidR="00D83741">
        <w:rPr>
          <w:rFonts w:hint="cs"/>
          <w:rtl/>
        </w:rPr>
        <w:t>»</w:t>
      </w:r>
      <w:r w:rsidR="00AF68A6">
        <w:rPr>
          <w:rFonts w:hint="cs"/>
          <w:rtl/>
        </w:rPr>
        <w:t>.</w:t>
      </w:r>
      <w:r w:rsidR="00D83741">
        <w:rPr>
          <w:rFonts w:hint="cs"/>
          <w:rtl/>
        </w:rPr>
        <w:t xml:space="preserve"> یا در دعای کمیل که گفته می‌شود: </w:t>
      </w:r>
      <w:r w:rsidR="00D83741" w:rsidRPr="00A95163">
        <w:rPr>
          <w:rFonts w:hint="cs"/>
          <w:color w:val="008000"/>
          <w:rtl/>
        </w:rPr>
        <w:t>«</w:t>
      </w:r>
      <w:r w:rsidR="00AF68A6" w:rsidRPr="00A95163">
        <w:rPr>
          <w:rFonts w:hint="cs"/>
          <w:color w:val="008000"/>
          <w:rtl/>
        </w:rPr>
        <w:t>خالفتُ بعض اوامر</w:t>
      </w:r>
      <w:r w:rsidR="00D83741" w:rsidRPr="00A95163">
        <w:rPr>
          <w:rFonts w:hint="cs"/>
          <w:color w:val="008000"/>
          <w:rtl/>
        </w:rPr>
        <w:t>ک»</w:t>
      </w:r>
      <w:r w:rsidR="00A95163">
        <w:rPr>
          <w:rStyle w:val="FootnoteReference"/>
          <w:color w:val="008000"/>
          <w:rtl/>
        </w:rPr>
        <w:footnoteReference w:id="29"/>
      </w:r>
      <w:r w:rsidR="00D83741">
        <w:rPr>
          <w:rFonts w:hint="cs"/>
          <w:rtl/>
        </w:rPr>
        <w:t xml:space="preserve"> می‌توان چنین گفت: «</w:t>
      </w:r>
      <w:r w:rsidR="00AF68A6">
        <w:rPr>
          <w:rFonts w:hint="cs"/>
          <w:rtl/>
        </w:rPr>
        <w:t xml:space="preserve"> خالفتُ بعض اوامرک</w:t>
      </w:r>
      <w:r w:rsidR="00D83741">
        <w:rPr>
          <w:rFonts w:hint="cs"/>
          <w:rtl/>
        </w:rPr>
        <w:t xml:space="preserve"> </w:t>
      </w:r>
      <w:r w:rsidR="00AF68A6">
        <w:rPr>
          <w:rFonts w:hint="cs"/>
          <w:rtl/>
        </w:rPr>
        <w:t xml:space="preserve">التی امرتنی </w:t>
      </w:r>
      <w:r w:rsidR="00AF68A6" w:rsidRPr="00D83741">
        <w:rPr>
          <w:rFonts w:hint="cs"/>
          <w:b/>
          <w:bCs/>
          <w:u w:val="single"/>
          <w:rtl/>
        </w:rPr>
        <w:t>بها</w:t>
      </w:r>
      <w:r w:rsidR="00D83741">
        <w:rPr>
          <w:rFonts w:hint="cs"/>
          <w:rtl/>
        </w:rPr>
        <w:t xml:space="preserve">». پس می‌توان متعلق امر </w:t>
      </w:r>
      <w:r w:rsidR="00D83741">
        <w:rPr>
          <w:rFonts w:hint="cs"/>
          <w:rtl/>
        </w:rPr>
        <w:lastRenderedPageBreak/>
        <w:t xml:space="preserve">را با حرف باء بیان کرد. </w:t>
      </w:r>
      <w:r w:rsidR="00AF68A6">
        <w:rPr>
          <w:rFonts w:hint="cs"/>
          <w:rtl/>
        </w:rPr>
        <w:t>اینکه این</w:t>
      </w:r>
      <w:r w:rsidR="00D83741">
        <w:rPr>
          <w:rFonts w:hint="cs"/>
          <w:rtl/>
        </w:rPr>
        <w:t>‌</w:t>
      </w:r>
      <w:r w:rsidR="00AF68A6">
        <w:rPr>
          <w:rFonts w:hint="cs"/>
          <w:rtl/>
        </w:rPr>
        <w:t>ها می‌گویند آم</w:t>
      </w:r>
      <w:r w:rsidR="00D83741">
        <w:rPr>
          <w:rFonts w:hint="cs"/>
          <w:rtl/>
        </w:rPr>
        <w:t xml:space="preserve">رة </w:t>
      </w:r>
      <w:r w:rsidR="00AF68A6">
        <w:rPr>
          <w:rFonts w:hint="cs"/>
          <w:rtl/>
        </w:rPr>
        <w:t xml:space="preserve"> مصدر به معنای مفعول است</w:t>
      </w:r>
      <w:r w:rsidR="00D83741">
        <w:rPr>
          <w:rFonts w:hint="cs"/>
          <w:rtl/>
        </w:rPr>
        <w:t>،</w:t>
      </w:r>
      <w:r w:rsidR="00AF68A6">
        <w:rPr>
          <w:rFonts w:hint="cs"/>
          <w:rtl/>
        </w:rPr>
        <w:t xml:space="preserve"> به اعتبار این است که </w:t>
      </w:r>
      <w:r w:rsidR="00D83741">
        <w:rPr>
          <w:rFonts w:hint="cs"/>
          <w:rtl/>
        </w:rPr>
        <w:t xml:space="preserve">می‌گویند </w:t>
      </w:r>
      <w:r w:rsidR="00AF68A6">
        <w:rPr>
          <w:rFonts w:hint="cs"/>
          <w:rtl/>
        </w:rPr>
        <w:t xml:space="preserve">اوامر آن دستوری </w:t>
      </w:r>
      <w:r w:rsidR="00D83741">
        <w:rPr>
          <w:rFonts w:hint="cs"/>
          <w:rtl/>
        </w:rPr>
        <w:t>ا</w:t>
      </w:r>
      <w:r w:rsidR="00AF68A6">
        <w:rPr>
          <w:rFonts w:hint="cs"/>
          <w:rtl/>
        </w:rPr>
        <w:t xml:space="preserve">ست که </w:t>
      </w:r>
      <w:r w:rsidR="00D83741">
        <w:rPr>
          <w:rFonts w:hint="cs"/>
          <w:rtl/>
        </w:rPr>
        <w:t>«</w:t>
      </w:r>
      <w:r w:rsidR="00AF68A6">
        <w:rPr>
          <w:rFonts w:hint="cs"/>
          <w:rtl/>
        </w:rPr>
        <w:t>یأمر الآمر</w:t>
      </w:r>
      <w:r w:rsidR="00A95163">
        <w:rPr>
          <w:rFonts w:hint="cs"/>
          <w:rtl/>
        </w:rPr>
        <w:t>ٌ</w:t>
      </w:r>
      <w:r w:rsidR="00AF68A6">
        <w:rPr>
          <w:rFonts w:hint="cs"/>
          <w:rtl/>
        </w:rPr>
        <w:t xml:space="preserve"> المأمور</w:t>
      </w:r>
      <w:r w:rsidR="00A95163">
        <w:rPr>
          <w:rFonts w:hint="cs"/>
          <w:rtl/>
        </w:rPr>
        <w:t>َ</w:t>
      </w:r>
      <w:r w:rsidR="00AF68A6">
        <w:rPr>
          <w:rFonts w:hint="cs"/>
          <w:rtl/>
        </w:rPr>
        <w:t xml:space="preserve"> بهذه الاوامر</w:t>
      </w:r>
      <w:r w:rsidR="00D83741">
        <w:rPr>
          <w:rFonts w:hint="cs"/>
          <w:rtl/>
        </w:rPr>
        <w:t xml:space="preserve">». </w:t>
      </w:r>
      <w:r w:rsidR="00AF68A6">
        <w:rPr>
          <w:rFonts w:hint="cs"/>
          <w:rtl/>
        </w:rPr>
        <w:t xml:space="preserve">در واقع مصدر </w:t>
      </w:r>
      <w:r w:rsidR="00D83741">
        <w:rPr>
          <w:rFonts w:hint="cs"/>
          <w:rtl/>
        </w:rPr>
        <w:t xml:space="preserve">را </w:t>
      </w:r>
      <w:r w:rsidR="00AF68A6">
        <w:rPr>
          <w:rFonts w:hint="cs"/>
          <w:rtl/>
        </w:rPr>
        <w:t>به معنای مفعول گرفت</w:t>
      </w:r>
      <w:r w:rsidR="00D83741">
        <w:rPr>
          <w:rFonts w:hint="cs"/>
          <w:rtl/>
        </w:rPr>
        <w:t xml:space="preserve">ه‌اند همانطور که نواهی را جمع ناهیة به معنای منهی‌عنه گرفته‌اند. </w:t>
      </w:r>
      <w:r w:rsidR="00E612B4">
        <w:rPr>
          <w:rFonts w:hint="cs"/>
          <w:rtl/>
        </w:rPr>
        <w:t>گاهی بعد از باء آن فعل را ذکر می‌کنیم «امرته بالصلاة» ولی گاهی بعد از باء، می‌گوییم «امرته بأمرٍ»؛ در جملۀ دوم «بأمرٍ» امر به معنای مفعول است</w:t>
      </w:r>
      <w:r w:rsidR="00D83741">
        <w:rPr>
          <w:rFonts w:hint="cs"/>
          <w:rtl/>
        </w:rPr>
        <w:t>؛ مقصود از</w:t>
      </w:r>
      <w:r w:rsidR="00AF68A6">
        <w:rPr>
          <w:rFonts w:hint="cs"/>
          <w:rtl/>
        </w:rPr>
        <w:t xml:space="preserve"> مفعول یعنی آن چیزی که بعد از با</w:t>
      </w:r>
      <w:r w:rsidR="00D83741">
        <w:rPr>
          <w:rFonts w:hint="cs"/>
          <w:rtl/>
        </w:rPr>
        <w:t>ء جاره واقع می‌شود.</w:t>
      </w:r>
    </w:p>
    <w:p w14:paraId="6D96B7B8" w14:textId="4165B463" w:rsidR="00D83741" w:rsidRDefault="00D83741" w:rsidP="00C70D2F">
      <w:pPr>
        <w:jc w:val="both"/>
        <w:rPr>
          <w:rtl/>
        </w:rPr>
      </w:pPr>
      <w:r>
        <w:rPr>
          <w:rFonts w:hint="cs"/>
          <w:rtl/>
        </w:rPr>
        <w:t>نخست مناسب است نکته‌</w:t>
      </w:r>
      <w:r w:rsidR="00E612B4">
        <w:rPr>
          <w:rFonts w:hint="cs"/>
          <w:rtl/>
        </w:rPr>
        <w:t>ای</w:t>
      </w:r>
      <w:r>
        <w:rPr>
          <w:rFonts w:hint="cs"/>
          <w:rtl/>
        </w:rPr>
        <w:t xml:space="preserve"> را گوشزد کنیم مبنی بر آن که ممکن است استدلال آقایان را چنین تقریب کنیم که اولاً اوامر جمع آمرة گرفته شده است. ثانیاً آمرة به معنای امر گرفته شده است. ثالثاً وجداناً امور معنایی غیر از اوامر دارد و امور نیز جمع امر است و اوامر هم جمع آمرة‌ای است که به معنای امر است. چون همانطور که گذشت،</w:t>
      </w:r>
      <w:r w:rsidR="00AF68A6">
        <w:rPr>
          <w:rFonts w:hint="cs"/>
          <w:rtl/>
        </w:rPr>
        <w:t xml:space="preserve"> گفتند امر و اِمار و ایمار</w:t>
      </w:r>
      <w:r>
        <w:rPr>
          <w:rFonts w:hint="cs"/>
          <w:rtl/>
        </w:rPr>
        <w:t xml:space="preserve"> و</w:t>
      </w:r>
      <w:r w:rsidR="00AF68A6">
        <w:rPr>
          <w:rFonts w:hint="cs"/>
          <w:rtl/>
        </w:rPr>
        <w:t xml:space="preserve"> آمر</w:t>
      </w:r>
      <w:r>
        <w:rPr>
          <w:rFonts w:hint="cs"/>
          <w:rtl/>
        </w:rPr>
        <w:t>ة</w:t>
      </w:r>
      <w:r w:rsidR="00AF68A6">
        <w:rPr>
          <w:rFonts w:hint="cs"/>
          <w:rtl/>
        </w:rPr>
        <w:t xml:space="preserve"> به یک معنا هستند</w:t>
      </w:r>
      <w:r>
        <w:rPr>
          <w:rFonts w:hint="cs"/>
          <w:rtl/>
        </w:rPr>
        <w:t xml:space="preserve"> و جمعش را نیز اوامر قرار داده‌اند. پس هر چند اوامر جمع آمرة است ولی آمرة‌ای که به معنای امر است.</w:t>
      </w:r>
    </w:p>
    <w:p w14:paraId="44D26BC0" w14:textId="77777777" w:rsidR="00D83741" w:rsidRDefault="00D83741" w:rsidP="00C70D2F">
      <w:pPr>
        <w:jc w:val="both"/>
        <w:rPr>
          <w:rtl/>
        </w:rPr>
      </w:pPr>
      <w:r>
        <w:rPr>
          <w:rFonts w:hint="cs"/>
          <w:rtl/>
        </w:rPr>
        <w:t>بنابراین با توجه به وجدانی بودن تفاوت معنای امور و اوامر، می‌توان فهمید معنای امری که مرادف آمرة است با امری که واحد امور است، متفاوت است.</w:t>
      </w:r>
    </w:p>
    <w:p w14:paraId="05A545FE" w14:textId="7EBC146E" w:rsidR="009706FC" w:rsidRDefault="00D83741" w:rsidP="00C70D2F">
      <w:pPr>
        <w:jc w:val="both"/>
        <w:rPr>
          <w:rtl/>
        </w:rPr>
      </w:pPr>
      <w:r>
        <w:rPr>
          <w:rFonts w:hint="cs"/>
          <w:rtl/>
        </w:rPr>
        <w:t xml:space="preserve">همانطور که سابقاً متذکر شدیم، </w:t>
      </w:r>
      <w:r w:rsidR="00AF68A6">
        <w:rPr>
          <w:rFonts w:hint="cs"/>
          <w:rtl/>
        </w:rPr>
        <w:t>اصل این استدلالات یک نوع پیچیدگی دارد</w:t>
      </w:r>
      <w:r w:rsidR="00A95163">
        <w:rPr>
          <w:rFonts w:hint="cs"/>
          <w:rtl/>
        </w:rPr>
        <w:t xml:space="preserve"> </w:t>
      </w:r>
      <w:r>
        <w:rPr>
          <w:rFonts w:hint="cs"/>
          <w:rtl/>
        </w:rPr>
        <w:t xml:space="preserve">و </w:t>
      </w:r>
      <w:r w:rsidR="00AF68A6">
        <w:rPr>
          <w:rFonts w:hint="cs"/>
          <w:rtl/>
        </w:rPr>
        <w:t>روشن‌تر از هم</w:t>
      </w:r>
      <w:r>
        <w:rPr>
          <w:rFonts w:hint="cs"/>
          <w:rtl/>
        </w:rPr>
        <w:t xml:space="preserve">ۀ این استدلالات، آن است که ما وجداناً دو معنای مختلف از مادۀ امر درک می‌کنیم. این درک وجدانی خیلی روشن‌تر از آن است که بخواهیم با استفاده از تفاوت معنایی امور و اوامر به اشتراک لفظی مادۀ امر برسیم چون باید بگوییم اوامر جمع آمرة است و آمرة هم به معنای امر است و با پیمودن این مقدمات پیچیده تعدد معنای امر را اثبات کنیم.  چنین استدلالی </w:t>
      </w:r>
      <w:r w:rsidR="00E612B4">
        <w:rPr>
          <w:rFonts w:hint="cs"/>
          <w:rtl/>
        </w:rPr>
        <w:t xml:space="preserve">درست است ولی </w:t>
      </w:r>
      <w:r w:rsidR="00AF68A6">
        <w:rPr>
          <w:rFonts w:hint="cs"/>
          <w:rtl/>
        </w:rPr>
        <w:t>اکل از قفاست</w:t>
      </w:r>
      <w:r>
        <w:rPr>
          <w:rFonts w:hint="cs"/>
          <w:rtl/>
        </w:rPr>
        <w:t xml:space="preserve"> چون</w:t>
      </w:r>
      <w:r w:rsidR="00AF68A6">
        <w:rPr>
          <w:rFonts w:hint="cs"/>
          <w:rtl/>
        </w:rPr>
        <w:t xml:space="preserve"> وجدانا امر به معنای دستور غیر از امر به معنای واحد امور </w:t>
      </w:r>
      <w:r>
        <w:rPr>
          <w:rFonts w:hint="cs"/>
          <w:rtl/>
        </w:rPr>
        <w:t>ا</w:t>
      </w:r>
      <w:r w:rsidR="00AF68A6">
        <w:rPr>
          <w:rFonts w:hint="cs"/>
          <w:rtl/>
        </w:rPr>
        <w:t>ست</w:t>
      </w:r>
      <w:r w:rsidR="009706FC">
        <w:rPr>
          <w:rFonts w:hint="cs"/>
          <w:rtl/>
        </w:rPr>
        <w:t xml:space="preserve"> خواه این دو معنای مختلف، در اصل از یکدیگر اخذ شده باشند یا اخذ نشده باشند؛ چون آن</w:t>
      </w:r>
      <w:r w:rsidR="00A95163">
        <w:rPr>
          <w:rFonts w:hint="cs"/>
          <w:rtl/>
        </w:rPr>
        <w:t xml:space="preserve">چه </w:t>
      </w:r>
      <w:r w:rsidR="009706FC">
        <w:rPr>
          <w:rFonts w:hint="cs"/>
          <w:rtl/>
        </w:rPr>
        <w:t>برای ما مهم است تعدد وضع است اما این که این وضع‌های متعدد مستقل از هم هستند یا یکی از دیگری گرفته شده، در بحث ما دخالتی ندارد. به بیان دیگر، این که وضع دوم، از قبیل منقول به کثرت استعمال است یا ارتجالی است، چندان مهم نیست افزون بر آن که اثبات این که یکی از دیگری گرفته شده نیز واضح نیست همچنانکه انکارش واضح نیست.</w:t>
      </w:r>
    </w:p>
    <w:p w14:paraId="0B299EDD" w14:textId="22D318D6" w:rsidR="00EB06B2" w:rsidRPr="00EB06B2" w:rsidRDefault="00EB06B2" w:rsidP="00C70D2F">
      <w:pPr>
        <w:pStyle w:val="Heading2"/>
        <w:jc w:val="both"/>
        <w:rPr>
          <w:color w:val="FF0000"/>
          <w:rtl/>
        </w:rPr>
      </w:pPr>
      <w:bookmarkStart w:id="10" w:name="_Toc165789491"/>
      <w:r>
        <w:rPr>
          <w:rFonts w:hint="cs"/>
          <w:rtl/>
        </w:rPr>
        <w:t>تذکر یک نکتۀ روشی در کشف معانی الفاظ</w:t>
      </w:r>
      <w:bookmarkEnd w:id="10"/>
    </w:p>
    <w:p w14:paraId="2C81F387" w14:textId="1068AFE8" w:rsidR="009706FC" w:rsidRDefault="00AF68A6" w:rsidP="00C70D2F">
      <w:pPr>
        <w:jc w:val="both"/>
        <w:rPr>
          <w:rtl/>
        </w:rPr>
      </w:pPr>
      <w:r>
        <w:rPr>
          <w:rFonts w:hint="cs"/>
          <w:rtl/>
        </w:rPr>
        <w:t>آقای شهیدی</w:t>
      </w:r>
      <w:r w:rsidR="000D58AE">
        <w:rPr>
          <w:rStyle w:val="FootnoteReference"/>
          <w:rtl/>
        </w:rPr>
        <w:footnoteReference w:id="30"/>
      </w:r>
      <w:r w:rsidR="009706FC">
        <w:rPr>
          <w:rFonts w:hint="cs"/>
          <w:rtl/>
        </w:rPr>
        <w:t xml:space="preserve"> از قول مرحوم آقای تبریزی نکاتی را نقل می‌کنند و بحث خوبی را مطرح می‌کنند. ولی یک نکتۀ کلی در این بحث‌ آن است که مثلاً مرحوم آقای تبریزی عباراتی را ذکر نموده است که آقای شهیدی می‌گوید معلوم نیست این عبارات درست باشد. ولی روش صحیح کشف معنای امر طلبی و غیر طلبی، این نیست که به استعمالات کنونی مراجعه کنیم. یعنی با صرف نظر از این که مرحوم آقای تبریزی یک عبارت را صحیح و آیا شهیدی در صحتش خدشه می‌کنند</w:t>
      </w:r>
      <w:r w:rsidR="00A95163">
        <w:rPr>
          <w:rFonts w:hint="cs"/>
          <w:rtl/>
        </w:rPr>
        <w:t>،</w:t>
      </w:r>
      <w:r w:rsidR="009706FC">
        <w:rPr>
          <w:rFonts w:hint="cs"/>
          <w:rtl/>
        </w:rPr>
        <w:t xml:space="preserve"> ممکن است برخی از واژگان در طول زمان با تغییر معنایی روبرو شوند بنابراین باید به استعمالات قدیمی مراجعه کرد نه استعمالات کنونی.</w:t>
      </w:r>
    </w:p>
    <w:p w14:paraId="5DAA1368" w14:textId="21E71E49" w:rsidR="00EB06B2" w:rsidRDefault="009706FC" w:rsidP="00C70D2F">
      <w:pPr>
        <w:jc w:val="both"/>
        <w:rPr>
          <w:rtl/>
        </w:rPr>
      </w:pPr>
      <w:r>
        <w:rPr>
          <w:rFonts w:hint="cs"/>
          <w:rtl/>
        </w:rPr>
        <w:t xml:space="preserve">مرحوم آقای صدر </w:t>
      </w:r>
      <w:r w:rsidR="000D58AE">
        <w:rPr>
          <w:rFonts w:hint="cs"/>
          <w:rtl/>
        </w:rPr>
        <w:t>مثالی را ذکر ‌</w:t>
      </w:r>
      <w:r w:rsidR="00A95163">
        <w:rPr>
          <w:rFonts w:hint="cs"/>
          <w:rtl/>
        </w:rPr>
        <w:t>می‌</w:t>
      </w:r>
      <w:r w:rsidR="000D58AE">
        <w:rPr>
          <w:rFonts w:hint="cs"/>
          <w:rtl/>
        </w:rPr>
        <w:t>کنند</w:t>
      </w:r>
      <w:r>
        <w:rPr>
          <w:rFonts w:hint="cs"/>
          <w:rtl/>
        </w:rPr>
        <w:t xml:space="preserve"> که اقای شهیدی</w:t>
      </w:r>
      <w:r w:rsidR="000D58AE">
        <w:rPr>
          <w:rStyle w:val="FootnoteReference"/>
          <w:rtl/>
        </w:rPr>
        <w:footnoteReference w:id="31"/>
      </w:r>
      <w:r>
        <w:rPr>
          <w:rFonts w:hint="cs"/>
          <w:rtl/>
        </w:rPr>
        <w:t xml:space="preserve"> آن را تأویل می‌کنند </w:t>
      </w:r>
      <w:r w:rsidR="0098448F">
        <w:rPr>
          <w:rFonts w:hint="cs"/>
          <w:rtl/>
        </w:rPr>
        <w:t>که در جلسۀ آینده پیرامون آن بحث خواهیم کرد؛</w:t>
      </w:r>
      <w:r>
        <w:rPr>
          <w:rFonts w:hint="cs"/>
          <w:rtl/>
        </w:rPr>
        <w:t xml:space="preserve"> ولی اصل قضیه آن است که ممکن است یک لفظی در طول زمان معنایش تغییر کند؛ یعنی شاید معنایش به طور کلی عوض </w:t>
      </w:r>
      <w:r>
        <w:rPr>
          <w:rFonts w:hint="cs"/>
          <w:rtl/>
        </w:rPr>
        <w:lastRenderedPageBreak/>
        <w:t xml:space="preserve">نشده باشد ولی به هر حال ممکن است دستخوش تغییراتی </w:t>
      </w:r>
      <w:r w:rsidR="0098448F">
        <w:rPr>
          <w:rFonts w:hint="cs"/>
          <w:rtl/>
        </w:rPr>
        <w:t xml:space="preserve">همچون کاستی یا فزونی </w:t>
      </w:r>
      <w:r>
        <w:rPr>
          <w:rFonts w:hint="cs"/>
          <w:rtl/>
        </w:rPr>
        <w:t>در محدوده و دائره‌اش شده باشد. مثلاً ممکن است معنایش گسترده‌تر شده باشد. بنابراین</w:t>
      </w:r>
      <w:r w:rsidR="00AF68A6">
        <w:rPr>
          <w:rFonts w:hint="cs"/>
          <w:rtl/>
        </w:rPr>
        <w:t xml:space="preserve"> تصور می‌کنم بهتر است به جای </w:t>
      </w:r>
      <w:r>
        <w:rPr>
          <w:rFonts w:hint="cs"/>
          <w:rtl/>
        </w:rPr>
        <w:t xml:space="preserve">پرداختن به مثال‌های فرضی، در مثال‌های واقعی زمان صدور </w:t>
      </w:r>
      <w:r w:rsidR="00EB06B2">
        <w:rPr>
          <w:rFonts w:hint="cs"/>
          <w:rtl/>
        </w:rPr>
        <w:t>غور کنیم. پرداختن به مثال‌های فرضی و استعمالات امروزی، نهایتش آن است که معنای کنونی لفظ را به ما نشان می‌دهد در نتیجه باز هم باید</w:t>
      </w:r>
      <w:r w:rsidR="00AF68A6">
        <w:rPr>
          <w:rFonts w:hint="cs"/>
          <w:rtl/>
        </w:rPr>
        <w:t xml:space="preserve"> با</w:t>
      </w:r>
      <w:r w:rsidR="00EB06B2">
        <w:rPr>
          <w:rFonts w:hint="cs"/>
          <w:rtl/>
        </w:rPr>
        <w:t xml:space="preserve"> تکیه بر</w:t>
      </w:r>
      <w:r w:rsidR="00AF68A6">
        <w:rPr>
          <w:rFonts w:hint="cs"/>
          <w:rtl/>
        </w:rPr>
        <w:t xml:space="preserve"> اصالة عدم التغییر</w:t>
      </w:r>
      <w:r w:rsidR="00EB06B2">
        <w:rPr>
          <w:rFonts w:hint="cs"/>
          <w:rtl/>
        </w:rPr>
        <w:t>،</w:t>
      </w:r>
      <w:r w:rsidR="00AF68A6">
        <w:rPr>
          <w:rFonts w:hint="cs"/>
          <w:rtl/>
        </w:rPr>
        <w:t xml:space="preserve"> عدم النقل</w:t>
      </w:r>
      <w:r w:rsidR="00EB06B2">
        <w:rPr>
          <w:rFonts w:hint="cs"/>
          <w:rtl/>
        </w:rPr>
        <w:t xml:space="preserve"> و مانند آن</w:t>
      </w:r>
      <w:r w:rsidR="00A95163">
        <w:rPr>
          <w:rFonts w:hint="cs"/>
          <w:rtl/>
        </w:rPr>
        <w:t>،</w:t>
      </w:r>
      <w:r w:rsidR="00EB06B2">
        <w:rPr>
          <w:rFonts w:hint="cs"/>
          <w:rtl/>
        </w:rPr>
        <w:t xml:space="preserve"> معنای مورد نظر را به عقب برگردانیم که آن هم متوقف بر جستجو در استعمالات قدیمی و نیافتن شاهد بر تغییر معنا است. پس بهتر است از همان ابتداء فحص و جستجوی خود را متوجه استعمالات قدیمی کنیم؛ اگر هم مثالی به ذهنمان رسید آن را به استعمالات قدیمی عرضه کنیم و ببینیم آیا </w:t>
      </w:r>
      <w:r w:rsidR="0098448F">
        <w:rPr>
          <w:rFonts w:hint="cs"/>
          <w:rtl/>
        </w:rPr>
        <w:t>مشابه آن</w:t>
      </w:r>
      <w:r w:rsidR="00EB06B2">
        <w:rPr>
          <w:rFonts w:hint="cs"/>
          <w:rtl/>
        </w:rPr>
        <w:t xml:space="preserve"> </w:t>
      </w:r>
      <w:r w:rsidR="0098448F">
        <w:rPr>
          <w:rFonts w:hint="cs"/>
          <w:rtl/>
        </w:rPr>
        <w:t xml:space="preserve">را </w:t>
      </w:r>
      <w:r w:rsidR="00EB06B2">
        <w:rPr>
          <w:rFonts w:hint="cs"/>
          <w:rtl/>
        </w:rPr>
        <w:t>در آن زمان می‌یابیم یا خیر؟</w:t>
      </w:r>
      <w:r w:rsidR="0098448F">
        <w:rPr>
          <w:rFonts w:hint="cs"/>
          <w:rtl/>
        </w:rPr>
        <w:t xml:space="preserve"> لذا اگر از ابتدا وقتمان را برای یافتن استعمالات قدیمی صرف کنیم بهتر است تا این که ابتداء با استفاده از استعمالات کنونی معنای لفظ را پیدا کنیم و سپس با استفاده از اصل عدم نقل معنای کنونی را به زمان صدور بکشانیم </w:t>
      </w:r>
      <w:r w:rsidR="00930DB1">
        <w:rPr>
          <w:rFonts w:hint="cs"/>
          <w:rtl/>
        </w:rPr>
        <w:t xml:space="preserve">_البته </w:t>
      </w:r>
      <w:r w:rsidR="0098448F">
        <w:rPr>
          <w:rFonts w:hint="cs"/>
          <w:rtl/>
        </w:rPr>
        <w:t>مشروط به این که تتبع کرده باشیم و شاهدی بر تحقق نقل نیافته با</w:t>
      </w:r>
      <w:r w:rsidR="00930DB1">
        <w:rPr>
          <w:rFonts w:hint="cs"/>
          <w:rtl/>
        </w:rPr>
        <w:t>ش</w:t>
      </w:r>
      <w:r w:rsidR="0098448F">
        <w:rPr>
          <w:rFonts w:hint="cs"/>
          <w:rtl/>
        </w:rPr>
        <w:t>یم</w:t>
      </w:r>
      <w:r w:rsidR="00930DB1">
        <w:rPr>
          <w:rFonts w:hint="cs"/>
          <w:rtl/>
        </w:rPr>
        <w:t>_</w:t>
      </w:r>
      <w:r w:rsidR="0098448F">
        <w:rPr>
          <w:rFonts w:hint="cs"/>
          <w:rtl/>
        </w:rPr>
        <w:t>.</w:t>
      </w:r>
    </w:p>
    <w:p w14:paraId="311F254D" w14:textId="00C372B7" w:rsidR="00EB06B2" w:rsidRDefault="00930DB1" w:rsidP="00C70D2F">
      <w:pPr>
        <w:jc w:val="both"/>
        <w:rPr>
          <w:rtl/>
        </w:rPr>
      </w:pPr>
      <w:r>
        <w:rPr>
          <w:rFonts w:hint="cs"/>
          <w:rtl/>
        </w:rPr>
        <w:t xml:space="preserve">من </w:t>
      </w:r>
      <w:r w:rsidR="0098448F">
        <w:rPr>
          <w:rFonts w:hint="cs"/>
          <w:rtl/>
        </w:rPr>
        <w:t>در اصول الرجال</w:t>
      </w:r>
      <w:r w:rsidR="00EB06B2">
        <w:rPr>
          <w:rFonts w:hint="cs"/>
          <w:rtl/>
        </w:rPr>
        <w:t xml:space="preserve"> </w:t>
      </w:r>
      <w:r w:rsidR="000D58AE">
        <w:rPr>
          <w:rFonts w:hint="cs"/>
          <w:rtl/>
        </w:rPr>
        <w:t xml:space="preserve">مقید بودم </w:t>
      </w:r>
      <w:r w:rsidR="00EB06B2">
        <w:rPr>
          <w:rFonts w:hint="cs"/>
          <w:rtl/>
        </w:rPr>
        <w:t xml:space="preserve">که اگر </w:t>
      </w:r>
      <w:r w:rsidR="00AF68A6">
        <w:rPr>
          <w:rFonts w:hint="cs"/>
          <w:rtl/>
        </w:rPr>
        <w:t xml:space="preserve">سندی برای تمرین یا برای درس ذکر </w:t>
      </w:r>
      <w:r w:rsidR="000D58AE">
        <w:rPr>
          <w:rFonts w:hint="cs"/>
          <w:rtl/>
        </w:rPr>
        <w:t>می‌کنم</w:t>
      </w:r>
      <w:r w:rsidR="00EB06B2">
        <w:rPr>
          <w:rFonts w:hint="cs"/>
          <w:rtl/>
        </w:rPr>
        <w:t xml:space="preserve">، </w:t>
      </w:r>
      <w:r w:rsidR="00AF68A6">
        <w:rPr>
          <w:rFonts w:hint="cs"/>
          <w:rtl/>
        </w:rPr>
        <w:t>واقعی باشد،</w:t>
      </w:r>
      <w:r w:rsidR="00EB06B2">
        <w:rPr>
          <w:rFonts w:hint="cs"/>
          <w:rtl/>
        </w:rPr>
        <w:t xml:space="preserve"> به طوری که حتی یک سند فرضی هم در آن مطرح نکردم. این کار زمان زیادی از من می‌گرفت و اصلاً راحت نبود ولی تلاشم این بود که مثال‌ها واقعی باشند تا مخاطب با واقعیت روبرو شود.</w:t>
      </w:r>
    </w:p>
    <w:p w14:paraId="448DE946" w14:textId="2B88B579" w:rsidR="00EB06B2" w:rsidRDefault="00EB06B2" w:rsidP="00C70D2F">
      <w:pPr>
        <w:jc w:val="both"/>
        <w:rPr>
          <w:rtl/>
        </w:rPr>
      </w:pPr>
      <w:r>
        <w:rPr>
          <w:rFonts w:hint="cs"/>
          <w:rtl/>
        </w:rPr>
        <w:t xml:space="preserve">البته مثال‌های </w:t>
      </w:r>
      <w:r w:rsidR="00AF68A6">
        <w:rPr>
          <w:rFonts w:hint="cs"/>
          <w:rtl/>
        </w:rPr>
        <w:t>آقای شهیدی نوعا واقعی</w:t>
      </w:r>
      <w:r>
        <w:rPr>
          <w:rFonts w:hint="cs"/>
          <w:rtl/>
        </w:rPr>
        <w:t xml:space="preserve"> و ارزشمند</w:t>
      </w:r>
      <w:r w:rsidR="00AF68A6">
        <w:rPr>
          <w:rFonts w:hint="cs"/>
          <w:rtl/>
        </w:rPr>
        <w:t xml:space="preserve"> است ولی یک سری مثال‌های غیر واقعی هم در لابلای این بحث‌ها از دیگر</w:t>
      </w:r>
      <w:r w:rsidR="000D58AE">
        <w:rPr>
          <w:rFonts w:hint="cs"/>
          <w:rtl/>
        </w:rPr>
        <w:t>ان</w:t>
      </w:r>
      <w:r w:rsidR="00AF68A6">
        <w:rPr>
          <w:rFonts w:hint="cs"/>
          <w:rtl/>
        </w:rPr>
        <w:t xml:space="preserve"> وارد شده و ایشان به تناسب مشابهات</w:t>
      </w:r>
      <w:r w:rsidR="000D58AE">
        <w:rPr>
          <w:rFonts w:hint="cs"/>
          <w:rtl/>
        </w:rPr>
        <w:t>،</w:t>
      </w:r>
      <w:r w:rsidR="00AF68A6">
        <w:rPr>
          <w:rFonts w:hint="cs"/>
          <w:rtl/>
        </w:rPr>
        <w:t xml:space="preserve"> بحث‌هایی در مورد آن کرده</w:t>
      </w:r>
      <w:r>
        <w:rPr>
          <w:rFonts w:hint="cs"/>
          <w:rtl/>
        </w:rPr>
        <w:t xml:space="preserve"> است که در جلسۀ آینده به برخی از آن‌ها اشاره خواهیم کرد هر چند سبکی که خودم می‌پسندم پرداختن به مثال‌های قدیمی است و این مطلب </w:t>
      </w:r>
      <w:r w:rsidR="000D58AE">
        <w:rPr>
          <w:rFonts w:hint="cs"/>
          <w:rtl/>
        </w:rPr>
        <w:t xml:space="preserve">را </w:t>
      </w:r>
      <w:r>
        <w:rPr>
          <w:rFonts w:hint="cs"/>
          <w:rtl/>
        </w:rPr>
        <w:t xml:space="preserve">از اهمیّت بالایی برخوردار </w:t>
      </w:r>
      <w:r w:rsidR="000D58AE">
        <w:rPr>
          <w:rFonts w:hint="cs"/>
          <w:rtl/>
        </w:rPr>
        <w:t>می‌دانم</w:t>
      </w:r>
      <w:r>
        <w:rPr>
          <w:rFonts w:hint="cs"/>
          <w:rtl/>
        </w:rPr>
        <w:t>.</w:t>
      </w:r>
    </w:p>
    <w:p w14:paraId="47BFF805" w14:textId="2922EFDF" w:rsidR="00EB06B2" w:rsidRDefault="00EB06B2" w:rsidP="00C70D2F">
      <w:pPr>
        <w:jc w:val="both"/>
        <w:rPr>
          <w:rtl/>
        </w:rPr>
      </w:pPr>
      <w:r>
        <w:rPr>
          <w:rFonts w:hint="cs"/>
          <w:rtl/>
        </w:rPr>
        <w:t xml:space="preserve">در جلسۀ آینده قصد داریم به برخی مثال‌ها بپردازیم. </w:t>
      </w:r>
      <w:r w:rsidR="00AF68A6">
        <w:rPr>
          <w:rFonts w:hint="cs"/>
          <w:rtl/>
        </w:rPr>
        <w:t xml:space="preserve">تصورم این </w:t>
      </w:r>
      <w:r>
        <w:rPr>
          <w:rFonts w:hint="cs"/>
          <w:rtl/>
        </w:rPr>
        <w:t>است</w:t>
      </w:r>
      <w:r w:rsidR="00AF68A6">
        <w:rPr>
          <w:rFonts w:hint="cs"/>
          <w:rtl/>
        </w:rPr>
        <w:t xml:space="preserve"> که امر </w:t>
      </w:r>
      <w:r w:rsidR="00930DB1">
        <w:rPr>
          <w:rFonts w:hint="cs"/>
          <w:rtl/>
        </w:rPr>
        <w:t xml:space="preserve">در همان جایی که </w:t>
      </w:r>
      <w:r>
        <w:rPr>
          <w:rFonts w:hint="cs"/>
          <w:rtl/>
        </w:rPr>
        <w:t>به معنای طلب است، در زمان کنونی معنایی غیر از معنایی دارد که در آیات قرآن ذکر شده است، دارد. امر در طول زمان با اندکی تغییر معنایی روبرو شده است که در جلسۀ آینده قصد داریم آن را توضیح دهیم.</w:t>
      </w:r>
      <w:bookmarkEnd w:id="6"/>
    </w:p>
    <w:sectPr w:rsidR="00EB06B2" w:rsidSect="006F248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BDA77" w14:textId="77777777" w:rsidR="006F2486" w:rsidRDefault="006F2486" w:rsidP="008B750B">
      <w:pPr>
        <w:spacing w:line="240" w:lineRule="auto"/>
      </w:pPr>
      <w:r>
        <w:separator/>
      </w:r>
    </w:p>
  </w:endnote>
  <w:endnote w:type="continuationSeparator" w:id="0">
    <w:p w14:paraId="7B9AD765" w14:textId="77777777" w:rsidR="006F2486" w:rsidRDefault="006F2486"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DCFB437" w14:textId="77777777" w:rsidTr="0020241A">
      <w:tc>
        <w:tcPr>
          <w:tcW w:w="3382" w:type="dxa"/>
          <w:tcBorders>
            <w:top w:val="nil"/>
            <w:left w:val="nil"/>
            <w:bottom w:val="nil"/>
            <w:right w:val="nil"/>
          </w:tcBorders>
        </w:tcPr>
        <w:p w14:paraId="2CD1BBF8" w14:textId="77777777" w:rsidR="006D44C1" w:rsidRDefault="006D44C1" w:rsidP="006D44C1">
          <w:pPr>
            <w:pStyle w:val="Footer"/>
            <w:rPr>
              <w:rtl/>
            </w:rPr>
          </w:pPr>
        </w:p>
      </w:tc>
      <w:tc>
        <w:tcPr>
          <w:tcW w:w="2252" w:type="dxa"/>
          <w:tcBorders>
            <w:top w:val="nil"/>
            <w:left w:val="nil"/>
            <w:bottom w:val="nil"/>
            <w:right w:val="nil"/>
          </w:tcBorders>
          <w:vAlign w:val="center"/>
        </w:tcPr>
        <w:p w14:paraId="0524F3D6"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E08F4" w:rsidRPr="002E08F4">
            <w:rPr>
              <w:noProof/>
              <w:rtl/>
              <w:lang w:val="fa-IR"/>
            </w:rPr>
            <w:t>1</w:t>
          </w:r>
          <w:r>
            <w:rPr>
              <w:noProof/>
            </w:rPr>
            <w:fldChar w:fldCharType="end"/>
          </w:r>
        </w:p>
      </w:tc>
      <w:tc>
        <w:tcPr>
          <w:tcW w:w="4786" w:type="dxa"/>
          <w:tcBorders>
            <w:top w:val="nil"/>
            <w:left w:val="nil"/>
            <w:bottom w:val="nil"/>
            <w:right w:val="nil"/>
          </w:tcBorders>
          <w:vAlign w:val="center"/>
        </w:tcPr>
        <w:p w14:paraId="75AB0AF1" w14:textId="77777777" w:rsidR="006D44C1" w:rsidRPr="006D44C1" w:rsidRDefault="006D44C1" w:rsidP="001B6799">
          <w:pPr>
            <w:pStyle w:val="Footer"/>
            <w:bidi w:val="0"/>
            <w:rPr>
              <w:color w:val="808080" w:themeColor="background1" w:themeShade="80"/>
              <w:rtl/>
            </w:rPr>
          </w:pPr>
          <w:bookmarkStart w:id="11" w:name="BokAdres"/>
          <w:bookmarkEnd w:id="11"/>
        </w:p>
      </w:tc>
    </w:tr>
  </w:tbl>
  <w:p w14:paraId="644174C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21F86" w14:textId="77777777" w:rsidR="006F2486" w:rsidRDefault="006F2486" w:rsidP="008B750B">
      <w:pPr>
        <w:spacing w:line="240" w:lineRule="auto"/>
      </w:pPr>
      <w:r>
        <w:separator/>
      </w:r>
    </w:p>
  </w:footnote>
  <w:footnote w:type="continuationSeparator" w:id="0">
    <w:p w14:paraId="700D0D81" w14:textId="77777777" w:rsidR="006F2486" w:rsidRDefault="006F2486" w:rsidP="008B750B">
      <w:pPr>
        <w:spacing w:line="240" w:lineRule="auto"/>
      </w:pPr>
      <w:r>
        <w:continuationSeparator/>
      </w:r>
    </w:p>
  </w:footnote>
  <w:footnote w:id="1">
    <w:p w14:paraId="79CF4E0D" w14:textId="1BE0CD64" w:rsidR="008029E4" w:rsidRDefault="008029E4">
      <w:pPr>
        <w:pStyle w:val="FootnoteText"/>
      </w:pPr>
      <w:r>
        <w:rPr>
          <w:rStyle w:val="FootnoteReference"/>
        </w:rPr>
        <w:footnoteRef/>
      </w:r>
      <w:r>
        <w:rPr>
          <w:rtl/>
        </w:rPr>
        <w:t xml:space="preserve"> </w:t>
      </w:r>
      <w:r w:rsidRPr="008029E4">
        <w:rPr>
          <w:rtl/>
        </w:rPr>
        <w:t>ترتيب اصلاح المنطق ج1  ص60</w:t>
      </w:r>
    </w:p>
  </w:footnote>
  <w:footnote w:id="2">
    <w:p w14:paraId="3D53F916" w14:textId="55975065" w:rsidR="00B924EC" w:rsidRDefault="00B924EC">
      <w:pPr>
        <w:pStyle w:val="FootnoteText"/>
      </w:pPr>
      <w:r>
        <w:rPr>
          <w:rStyle w:val="FootnoteReference"/>
        </w:rPr>
        <w:footnoteRef/>
      </w:r>
      <w:r>
        <w:rPr>
          <w:rtl/>
        </w:rPr>
        <w:t xml:space="preserve"> </w:t>
      </w:r>
      <w:r w:rsidRPr="00B924EC">
        <w:rPr>
          <w:rtl/>
        </w:rPr>
        <w:t>التبيان في تفسير القرآن، ج‏7، ص: 74</w:t>
      </w:r>
    </w:p>
  </w:footnote>
  <w:footnote w:id="3">
    <w:p w14:paraId="435B283D" w14:textId="4F0F222B" w:rsidR="00B924EC" w:rsidRDefault="00B924EC">
      <w:pPr>
        <w:pStyle w:val="FootnoteText"/>
      </w:pPr>
      <w:r>
        <w:rPr>
          <w:rStyle w:val="FootnoteReference"/>
        </w:rPr>
        <w:footnoteRef/>
      </w:r>
      <w:r>
        <w:rPr>
          <w:rtl/>
        </w:rPr>
        <w:t xml:space="preserve"> </w:t>
      </w:r>
      <w:r>
        <w:rPr>
          <w:rFonts w:hint="cs"/>
          <w:rtl/>
        </w:rPr>
        <w:t>همان</w:t>
      </w:r>
    </w:p>
  </w:footnote>
  <w:footnote w:id="4">
    <w:p w14:paraId="55C96284" w14:textId="039A7AA1" w:rsidR="00B924EC" w:rsidRDefault="00B924EC">
      <w:pPr>
        <w:pStyle w:val="FootnoteText"/>
      </w:pPr>
      <w:r>
        <w:rPr>
          <w:rStyle w:val="FootnoteReference"/>
        </w:rPr>
        <w:footnoteRef/>
      </w:r>
      <w:r>
        <w:rPr>
          <w:rtl/>
        </w:rPr>
        <w:t xml:space="preserve"> </w:t>
      </w:r>
      <w:r>
        <w:rPr>
          <w:rFonts w:hint="cs"/>
          <w:rtl/>
        </w:rPr>
        <w:t>همان</w:t>
      </w:r>
    </w:p>
  </w:footnote>
  <w:footnote w:id="5">
    <w:p w14:paraId="49CC36A3" w14:textId="15C31B31" w:rsidR="009B28BA" w:rsidRDefault="009B28BA">
      <w:pPr>
        <w:pStyle w:val="FootnoteText"/>
      </w:pPr>
      <w:r>
        <w:rPr>
          <w:rStyle w:val="FootnoteReference"/>
        </w:rPr>
        <w:footnoteRef/>
      </w:r>
      <w:r>
        <w:rPr>
          <w:rtl/>
        </w:rPr>
        <w:t xml:space="preserve"> </w:t>
      </w:r>
      <w:r w:rsidRPr="009B28BA">
        <w:rPr>
          <w:rtl/>
        </w:rPr>
        <w:t>كتاب العين، ج‏8، ص: 298</w:t>
      </w:r>
    </w:p>
  </w:footnote>
  <w:footnote w:id="6">
    <w:p w14:paraId="0B31F9B6" w14:textId="398B65CF" w:rsidR="009B28BA" w:rsidRDefault="009B28BA">
      <w:pPr>
        <w:pStyle w:val="FootnoteText"/>
        <w:rPr>
          <w:rtl/>
        </w:rPr>
      </w:pPr>
      <w:r>
        <w:rPr>
          <w:rStyle w:val="FootnoteReference"/>
        </w:rPr>
        <w:footnoteRef/>
      </w:r>
      <w:r>
        <w:rPr>
          <w:rtl/>
        </w:rPr>
        <w:t xml:space="preserve"> </w:t>
      </w:r>
      <w:r w:rsidRPr="009B28BA">
        <w:rPr>
          <w:rtl/>
        </w:rPr>
        <w:t>الإسراء : 16</w:t>
      </w:r>
    </w:p>
  </w:footnote>
  <w:footnote w:id="7">
    <w:p w14:paraId="2D97720D" w14:textId="77777777" w:rsidR="009B28BA" w:rsidRDefault="009B28BA" w:rsidP="009B28BA">
      <w:pPr>
        <w:pStyle w:val="FootnoteText"/>
      </w:pPr>
      <w:r>
        <w:rPr>
          <w:rStyle w:val="FootnoteReference"/>
        </w:rPr>
        <w:footnoteRef/>
      </w:r>
      <w:r>
        <w:rPr>
          <w:rtl/>
        </w:rPr>
        <w:t xml:space="preserve"> </w:t>
      </w:r>
      <w:r w:rsidRPr="009B28BA">
        <w:rPr>
          <w:rtl/>
        </w:rPr>
        <w:t>كتاب العين، ج‏8، ص: 298</w:t>
      </w:r>
    </w:p>
  </w:footnote>
  <w:footnote w:id="8">
    <w:p w14:paraId="788D7C21" w14:textId="54428EEF" w:rsidR="002D0225" w:rsidRDefault="002D0225">
      <w:pPr>
        <w:pStyle w:val="FootnoteText"/>
      </w:pPr>
      <w:r>
        <w:rPr>
          <w:rStyle w:val="FootnoteReference"/>
        </w:rPr>
        <w:footnoteRef/>
      </w:r>
      <w:r>
        <w:rPr>
          <w:rtl/>
        </w:rPr>
        <w:t xml:space="preserve"> </w:t>
      </w:r>
      <w:r w:rsidRPr="002D0225">
        <w:rPr>
          <w:rtl/>
        </w:rPr>
        <w:t>مفردات ألفاظ القرآن، ص: 89</w:t>
      </w:r>
    </w:p>
  </w:footnote>
  <w:footnote w:id="9">
    <w:p w14:paraId="19BA5073" w14:textId="6BDB5CA0" w:rsidR="002D0225" w:rsidRDefault="002D0225">
      <w:pPr>
        <w:pStyle w:val="FootnoteText"/>
      </w:pPr>
      <w:r>
        <w:rPr>
          <w:rStyle w:val="FootnoteReference"/>
        </w:rPr>
        <w:footnoteRef/>
      </w:r>
      <w:r>
        <w:rPr>
          <w:rtl/>
        </w:rPr>
        <w:t xml:space="preserve"> بحار الأنوار الجامعة لدرر أخبار الأئمة الأطهار، ج‏20، ص: 388</w:t>
      </w:r>
    </w:p>
  </w:footnote>
  <w:footnote w:id="10">
    <w:p w14:paraId="5C263119" w14:textId="73E4B701" w:rsidR="002D0225" w:rsidRDefault="002D0225">
      <w:pPr>
        <w:pStyle w:val="FootnoteText"/>
      </w:pPr>
      <w:r>
        <w:rPr>
          <w:rStyle w:val="FootnoteReference"/>
        </w:rPr>
        <w:footnoteRef/>
      </w:r>
      <w:r>
        <w:rPr>
          <w:rtl/>
        </w:rPr>
        <w:t xml:space="preserve"> </w:t>
      </w:r>
      <w:r w:rsidR="002B34D2" w:rsidRPr="002B34D2">
        <w:rPr>
          <w:rtl/>
        </w:rPr>
        <w:t>المحيط في اللغة، ج‏10، ص: 283</w:t>
      </w:r>
    </w:p>
  </w:footnote>
  <w:footnote w:id="11">
    <w:p w14:paraId="65ADC35C" w14:textId="0B905648" w:rsidR="002B34D2" w:rsidRDefault="002B34D2">
      <w:pPr>
        <w:pStyle w:val="FootnoteText"/>
      </w:pPr>
      <w:r>
        <w:rPr>
          <w:rStyle w:val="FootnoteReference"/>
        </w:rPr>
        <w:footnoteRef/>
      </w:r>
      <w:r>
        <w:rPr>
          <w:rtl/>
        </w:rPr>
        <w:t xml:space="preserve"> </w:t>
      </w:r>
      <w:r>
        <w:rPr>
          <w:rFonts w:hint="cs"/>
          <w:rtl/>
        </w:rPr>
        <w:t xml:space="preserve"> </w:t>
      </w:r>
      <w:r w:rsidRPr="002B34D2">
        <w:rPr>
          <w:rtl/>
        </w:rPr>
        <w:t>التبيان في تفسير القرآن، ج‏7، ص: 74</w:t>
      </w:r>
    </w:p>
  </w:footnote>
  <w:footnote w:id="12">
    <w:p w14:paraId="1CB28E29" w14:textId="2886111C" w:rsidR="00637604" w:rsidRDefault="00637604">
      <w:pPr>
        <w:pStyle w:val="FootnoteText"/>
        <w:rPr>
          <w:rtl/>
        </w:rPr>
      </w:pPr>
      <w:r>
        <w:rPr>
          <w:rStyle w:val="FootnoteReference"/>
        </w:rPr>
        <w:footnoteRef/>
      </w:r>
      <w:r>
        <w:rPr>
          <w:rtl/>
        </w:rPr>
        <w:t xml:space="preserve"> </w:t>
      </w:r>
      <w:r w:rsidRPr="00637604">
        <w:rPr>
          <w:rtl/>
        </w:rPr>
        <w:t xml:space="preserve"> الكشاف عن حقائق غوامض التنزيل، ج‏1، ص: 121</w:t>
      </w:r>
    </w:p>
  </w:footnote>
  <w:footnote w:id="13">
    <w:p w14:paraId="1B9A037D" w14:textId="5A06B9A3" w:rsidR="00637604" w:rsidRDefault="00637604">
      <w:pPr>
        <w:pStyle w:val="FootnoteText"/>
      </w:pPr>
      <w:r>
        <w:rPr>
          <w:rStyle w:val="FootnoteReference"/>
        </w:rPr>
        <w:footnoteRef/>
      </w:r>
      <w:r>
        <w:rPr>
          <w:rtl/>
        </w:rPr>
        <w:t xml:space="preserve"> </w:t>
      </w:r>
      <w:r>
        <w:rPr>
          <w:rFonts w:hint="cs"/>
          <w:rtl/>
        </w:rPr>
        <w:t>همان</w:t>
      </w:r>
    </w:p>
  </w:footnote>
  <w:footnote w:id="14">
    <w:p w14:paraId="424AC1DA" w14:textId="20C4B097" w:rsidR="00E10B02" w:rsidRDefault="00E10B02">
      <w:pPr>
        <w:pStyle w:val="FootnoteText"/>
      </w:pPr>
      <w:r>
        <w:rPr>
          <w:rStyle w:val="FootnoteReference"/>
        </w:rPr>
        <w:footnoteRef/>
      </w:r>
      <w:r>
        <w:rPr>
          <w:rtl/>
        </w:rPr>
        <w:t xml:space="preserve"> </w:t>
      </w:r>
      <w:r w:rsidRPr="00E10B02">
        <w:rPr>
          <w:rtl/>
        </w:rPr>
        <w:t xml:space="preserve"> روح المعاني، ج‏1، ص: 213</w:t>
      </w:r>
    </w:p>
  </w:footnote>
  <w:footnote w:id="15">
    <w:p w14:paraId="66898BE1" w14:textId="649CFA78" w:rsidR="00E10B02" w:rsidRDefault="00E10B02">
      <w:pPr>
        <w:pStyle w:val="FootnoteText"/>
      </w:pPr>
      <w:r>
        <w:rPr>
          <w:rStyle w:val="FootnoteReference"/>
        </w:rPr>
        <w:footnoteRef/>
      </w:r>
      <w:r>
        <w:rPr>
          <w:rtl/>
        </w:rPr>
        <w:t xml:space="preserve"> </w:t>
      </w:r>
      <w:r>
        <w:rPr>
          <w:rFonts w:hint="cs"/>
          <w:rtl/>
        </w:rPr>
        <w:t>همان</w:t>
      </w:r>
    </w:p>
  </w:footnote>
  <w:footnote w:id="16">
    <w:p w14:paraId="65F0AB75" w14:textId="63E2667A" w:rsidR="00E10B02" w:rsidRDefault="00E10B02">
      <w:pPr>
        <w:pStyle w:val="FootnoteText"/>
      </w:pPr>
      <w:r>
        <w:rPr>
          <w:rStyle w:val="FootnoteReference"/>
        </w:rPr>
        <w:footnoteRef/>
      </w:r>
      <w:r>
        <w:rPr>
          <w:rtl/>
        </w:rPr>
        <w:t xml:space="preserve"> </w:t>
      </w:r>
      <w:r>
        <w:rPr>
          <w:rFonts w:hint="cs"/>
          <w:rtl/>
        </w:rPr>
        <w:t>همان</w:t>
      </w:r>
    </w:p>
  </w:footnote>
  <w:footnote w:id="17">
    <w:p w14:paraId="41D4772D" w14:textId="4EAA6C86" w:rsidR="00E10B02" w:rsidRDefault="00E10B02">
      <w:pPr>
        <w:pStyle w:val="FootnoteText"/>
      </w:pPr>
      <w:r>
        <w:rPr>
          <w:rStyle w:val="FootnoteReference"/>
        </w:rPr>
        <w:footnoteRef/>
      </w:r>
      <w:r>
        <w:rPr>
          <w:rtl/>
        </w:rPr>
        <w:t xml:space="preserve"> </w:t>
      </w:r>
      <w:r>
        <w:rPr>
          <w:rFonts w:hint="cs"/>
          <w:rtl/>
        </w:rPr>
        <w:t>همان</w:t>
      </w:r>
    </w:p>
  </w:footnote>
  <w:footnote w:id="18">
    <w:p w14:paraId="0506EA32" w14:textId="27B62563" w:rsidR="00E10B02" w:rsidRDefault="00E10B02">
      <w:pPr>
        <w:pStyle w:val="FootnoteText"/>
      </w:pPr>
      <w:r>
        <w:rPr>
          <w:rStyle w:val="FootnoteReference"/>
        </w:rPr>
        <w:footnoteRef/>
      </w:r>
      <w:r>
        <w:rPr>
          <w:rtl/>
        </w:rPr>
        <w:t xml:space="preserve"> </w:t>
      </w:r>
      <w:r>
        <w:rPr>
          <w:rFonts w:hint="cs"/>
          <w:rtl/>
        </w:rPr>
        <w:t>همان</w:t>
      </w:r>
    </w:p>
  </w:footnote>
  <w:footnote w:id="19">
    <w:p w14:paraId="2A717C46" w14:textId="40AA2843" w:rsidR="00E10B02" w:rsidRDefault="00E10B02">
      <w:pPr>
        <w:pStyle w:val="FootnoteText"/>
      </w:pPr>
      <w:r>
        <w:rPr>
          <w:rStyle w:val="FootnoteReference"/>
        </w:rPr>
        <w:footnoteRef/>
      </w:r>
      <w:r>
        <w:rPr>
          <w:rtl/>
        </w:rPr>
        <w:t xml:space="preserve"> </w:t>
      </w:r>
      <w:r>
        <w:rPr>
          <w:rFonts w:hint="cs"/>
          <w:rtl/>
        </w:rPr>
        <w:t>همان</w:t>
      </w:r>
    </w:p>
  </w:footnote>
  <w:footnote w:id="20">
    <w:p w14:paraId="6339F571" w14:textId="0089E6A8" w:rsidR="00D82E46" w:rsidRDefault="00D82E46">
      <w:pPr>
        <w:pStyle w:val="FootnoteText"/>
        <w:rPr>
          <w:rtl/>
        </w:rPr>
      </w:pPr>
      <w:r>
        <w:rPr>
          <w:rStyle w:val="FootnoteReference"/>
        </w:rPr>
        <w:footnoteRef/>
      </w:r>
      <w:r>
        <w:rPr>
          <w:rtl/>
        </w:rPr>
        <w:t xml:space="preserve"> </w:t>
      </w:r>
      <w:r w:rsidRPr="00D82E46">
        <w:rPr>
          <w:rtl/>
        </w:rPr>
        <w:t xml:space="preserve"> تفسير جوامع الجامع، ج‏1، ص: 2</w:t>
      </w:r>
    </w:p>
  </w:footnote>
  <w:footnote w:id="21">
    <w:p w14:paraId="3CA1544D" w14:textId="3109475D" w:rsidR="00FE2BFB" w:rsidRDefault="00FE2BFB">
      <w:pPr>
        <w:pStyle w:val="FootnoteText"/>
        <w:rPr>
          <w:lang w:bidi="ar-SA"/>
        </w:rPr>
      </w:pPr>
      <w:r>
        <w:rPr>
          <w:rStyle w:val="FootnoteReference"/>
        </w:rPr>
        <w:footnoteRef/>
      </w:r>
      <w:r>
        <w:rPr>
          <w:rtl/>
        </w:rPr>
        <w:t xml:space="preserve"> </w:t>
      </w:r>
      <w:r w:rsidRPr="00FE2BFB">
        <w:rPr>
          <w:rtl/>
        </w:rPr>
        <w:t>کتاب مباحث الألفاظ ج۲، بحث الأوامر، ص ۱۰</w:t>
      </w:r>
    </w:p>
  </w:footnote>
  <w:footnote w:id="22">
    <w:p w14:paraId="7F997D23" w14:textId="614E302C" w:rsidR="00E72B38" w:rsidRDefault="00E72B38">
      <w:pPr>
        <w:pStyle w:val="FootnoteText"/>
      </w:pPr>
      <w:r>
        <w:rPr>
          <w:rStyle w:val="FootnoteReference"/>
        </w:rPr>
        <w:footnoteRef/>
      </w:r>
      <w:r>
        <w:rPr>
          <w:rtl/>
        </w:rPr>
        <w:t xml:space="preserve"> </w:t>
      </w:r>
      <w:r w:rsidRPr="00E72B38">
        <w:rPr>
          <w:rtl/>
        </w:rPr>
        <w:t>کتاب مباحث الألفاظ ج۲، بحث الأوامر، ص ۱۰</w:t>
      </w:r>
    </w:p>
  </w:footnote>
  <w:footnote w:id="23">
    <w:p w14:paraId="1DAF1A95" w14:textId="6C9F7B6F" w:rsidR="003F0ED4" w:rsidRDefault="003F0ED4">
      <w:pPr>
        <w:pStyle w:val="FootnoteText"/>
        <w:rPr>
          <w:rtl/>
        </w:rPr>
      </w:pPr>
      <w:r>
        <w:rPr>
          <w:rStyle w:val="FootnoteReference"/>
        </w:rPr>
        <w:footnoteRef/>
      </w:r>
      <w:r>
        <w:rPr>
          <w:rtl/>
        </w:rPr>
        <w:t xml:space="preserve"> </w:t>
      </w:r>
      <w:r w:rsidRPr="003F0ED4">
        <w:rPr>
          <w:rtl/>
        </w:rPr>
        <w:t>قاعدة لا ضرر و لا ضرار، ص: 13</w:t>
      </w:r>
    </w:p>
  </w:footnote>
  <w:footnote w:id="24">
    <w:p w14:paraId="6C9070C0" w14:textId="48EF31C2" w:rsidR="003F0ED4" w:rsidRDefault="003F0ED4">
      <w:pPr>
        <w:pStyle w:val="FootnoteText"/>
      </w:pPr>
      <w:r>
        <w:rPr>
          <w:rStyle w:val="FootnoteReference"/>
        </w:rPr>
        <w:footnoteRef/>
      </w:r>
      <w:r>
        <w:rPr>
          <w:rtl/>
        </w:rPr>
        <w:t xml:space="preserve"> </w:t>
      </w:r>
      <w:r w:rsidRPr="003F0ED4">
        <w:rPr>
          <w:rtl/>
        </w:rPr>
        <w:t>كتاب العين، ج‏8، ص: 297</w:t>
      </w:r>
    </w:p>
  </w:footnote>
  <w:footnote w:id="25">
    <w:p w14:paraId="3C8DFBD6" w14:textId="417DFFFC" w:rsidR="003F0ED4" w:rsidRDefault="003F0ED4">
      <w:pPr>
        <w:pStyle w:val="FootnoteText"/>
      </w:pPr>
      <w:r>
        <w:rPr>
          <w:rStyle w:val="FootnoteReference"/>
        </w:rPr>
        <w:footnoteRef/>
      </w:r>
      <w:r>
        <w:rPr>
          <w:rtl/>
        </w:rPr>
        <w:t xml:space="preserve"> </w:t>
      </w:r>
      <w:r w:rsidR="00C70D2F" w:rsidRPr="00C70D2F">
        <w:rPr>
          <w:rtl/>
        </w:rPr>
        <w:t>كفاية الأصول ( طبع آل البيت )، ص: 416</w:t>
      </w:r>
    </w:p>
  </w:footnote>
  <w:footnote w:id="26">
    <w:p w14:paraId="2A419661" w14:textId="507BD75A" w:rsidR="00A95163" w:rsidRDefault="00A95163">
      <w:pPr>
        <w:pStyle w:val="FootnoteText"/>
      </w:pPr>
      <w:r>
        <w:rPr>
          <w:rStyle w:val="FootnoteReference"/>
        </w:rPr>
        <w:footnoteRef/>
      </w:r>
      <w:r>
        <w:rPr>
          <w:rtl/>
        </w:rPr>
        <w:t xml:space="preserve"> </w:t>
      </w:r>
      <w:r w:rsidRPr="00A95163">
        <w:rPr>
          <w:rtl/>
        </w:rPr>
        <w:t>کتاب مباحث الألفاظ ج۲، بحث الأوامر، ص ۱0</w:t>
      </w:r>
    </w:p>
  </w:footnote>
  <w:footnote w:id="27">
    <w:p w14:paraId="23C3361C" w14:textId="2CEE28C0" w:rsidR="00A95163" w:rsidRDefault="00A95163">
      <w:pPr>
        <w:pStyle w:val="FootnoteText"/>
        <w:rPr>
          <w:lang w:bidi="ar-SA"/>
        </w:rPr>
      </w:pPr>
      <w:r>
        <w:rPr>
          <w:rStyle w:val="FootnoteReference"/>
        </w:rPr>
        <w:footnoteRef/>
      </w:r>
      <w:r>
        <w:rPr>
          <w:rtl/>
        </w:rPr>
        <w:t xml:space="preserve"> </w:t>
      </w:r>
      <w:r w:rsidRPr="00A95163">
        <w:rPr>
          <w:rtl/>
        </w:rPr>
        <w:t>المحكم و المحيط الأعظم، ج‏10، ص: 299</w:t>
      </w:r>
    </w:p>
  </w:footnote>
  <w:footnote w:id="28">
    <w:p w14:paraId="51977FCC" w14:textId="077511C2" w:rsidR="00A95163" w:rsidRDefault="00A95163">
      <w:pPr>
        <w:pStyle w:val="FootnoteText"/>
      </w:pPr>
      <w:r>
        <w:rPr>
          <w:rStyle w:val="FootnoteReference"/>
        </w:rPr>
        <w:footnoteRef/>
      </w:r>
      <w:r>
        <w:rPr>
          <w:rtl/>
        </w:rPr>
        <w:t xml:space="preserve"> </w:t>
      </w:r>
      <w:r w:rsidRPr="00A95163">
        <w:rPr>
          <w:rtl/>
        </w:rPr>
        <w:t>القاموس المحيط، ج‏2، ص: 8</w:t>
      </w:r>
    </w:p>
  </w:footnote>
  <w:footnote w:id="29">
    <w:p w14:paraId="5AEE39B8" w14:textId="3FCE12D9" w:rsidR="00A95163" w:rsidRDefault="00A95163">
      <w:pPr>
        <w:pStyle w:val="FootnoteText"/>
      </w:pPr>
      <w:r>
        <w:rPr>
          <w:rStyle w:val="FootnoteReference"/>
        </w:rPr>
        <w:footnoteRef/>
      </w:r>
      <w:r>
        <w:rPr>
          <w:rtl/>
        </w:rPr>
        <w:t xml:space="preserve"> </w:t>
      </w:r>
      <w:r w:rsidRPr="00A95163">
        <w:rPr>
          <w:rtl/>
        </w:rPr>
        <w:t>جمال الأسبوع بكمال العمل المشروع / 545 / دعاء كميل بن زياد عليه الرحمة .....  ص : 542</w:t>
      </w:r>
    </w:p>
  </w:footnote>
  <w:footnote w:id="30">
    <w:p w14:paraId="34A7BD7E" w14:textId="13813269" w:rsidR="000D58AE" w:rsidRDefault="000D58AE">
      <w:pPr>
        <w:pStyle w:val="FootnoteText"/>
      </w:pPr>
      <w:r>
        <w:rPr>
          <w:rStyle w:val="FootnoteReference"/>
        </w:rPr>
        <w:footnoteRef/>
      </w:r>
      <w:r>
        <w:rPr>
          <w:rtl/>
        </w:rPr>
        <w:t xml:space="preserve"> </w:t>
      </w:r>
      <w:r w:rsidRPr="000D58AE">
        <w:rPr>
          <w:rtl/>
        </w:rPr>
        <w:t>کتاب مباحث الألفاظ ج۲، بحث الأوامر، ص ۵</w:t>
      </w:r>
    </w:p>
  </w:footnote>
  <w:footnote w:id="31">
    <w:p w14:paraId="2D8F5776" w14:textId="78A31BEC" w:rsidR="000D58AE" w:rsidRDefault="000D58AE">
      <w:pPr>
        <w:pStyle w:val="FootnoteText"/>
      </w:pPr>
      <w:r>
        <w:rPr>
          <w:rStyle w:val="FootnoteReference"/>
        </w:rPr>
        <w:footnoteRef/>
      </w:r>
      <w:r>
        <w:rPr>
          <w:rtl/>
        </w:rPr>
        <w:t xml:space="preserve"> </w:t>
      </w:r>
      <w:r>
        <w:rPr>
          <w:rFonts w:hint="cs"/>
          <w:rtl/>
        </w:rPr>
        <w:t>همان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B07578"/>
    <w:multiLevelType w:val="hybridMultilevel"/>
    <w:tmpl w:val="ED3A8FC4"/>
    <w:lvl w:ilvl="0" w:tplc="224CF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42C0"/>
    <w:rsid w:val="00025777"/>
    <w:rsid w:val="000353D7"/>
    <w:rsid w:val="000415BE"/>
    <w:rsid w:val="00057D42"/>
    <w:rsid w:val="00060834"/>
    <w:rsid w:val="0006502D"/>
    <w:rsid w:val="000800D9"/>
    <w:rsid w:val="00080A41"/>
    <w:rsid w:val="0008299B"/>
    <w:rsid w:val="00090D62"/>
    <w:rsid w:val="000913AA"/>
    <w:rsid w:val="000A16FA"/>
    <w:rsid w:val="000B5DB5"/>
    <w:rsid w:val="000B6F58"/>
    <w:rsid w:val="000B7914"/>
    <w:rsid w:val="000C3947"/>
    <w:rsid w:val="000D085B"/>
    <w:rsid w:val="000D30E9"/>
    <w:rsid w:val="000D58AE"/>
    <w:rsid w:val="000D6818"/>
    <w:rsid w:val="000E17AF"/>
    <w:rsid w:val="000E335E"/>
    <w:rsid w:val="000F16CF"/>
    <w:rsid w:val="000F348A"/>
    <w:rsid w:val="000F5BAC"/>
    <w:rsid w:val="00101A04"/>
    <w:rsid w:val="00114A1D"/>
    <w:rsid w:val="00116B2B"/>
    <w:rsid w:val="00122C9D"/>
    <w:rsid w:val="00124E3D"/>
    <w:rsid w:val="00127E95"/>
    <w:rsid w:val="00130659"/>
    <w:rsid w:val="00133957"/>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229D5"/>
    <w:rsid w:val="00234F8B"/>
    <w:rsid w:val="00247D2F"/>
    <w:rsid w:val="00254950"/>
    <w:rsid w:val="00256560"/>
    <w:rsid w:val="0027605E"/>
    <w:rsid w:val="00281E00"/>
    <w:rsid w:val="00294A52"/>
    <w:rsid w:val="002A3DEF"/>
    <w:rsid w:val="002A51A0"/>
    <w:rsid w:val="002B0B60"/>
    <w:rsid w:val="002B0E39"/>
    <w:rsid w:val="002B34D2"/>
    <w:rsid w:val="002B575F"/>
    <w:rsid w:val="002B729B"/>
    <w:rsid w:val="002C53A2"/>
    <w:rsid w:val="002D0040"/>
    <w:rsid w:val="002D0225"/>
    <w:rsid w:val="002E08F4"/>
    <w:rsid w:val="002E1365"/>
    <w:rsid w:val="002E220F"/>
    <w:rsid w:val="002E3CF7"/>
    <w:rsid w:val="0032100F"/>
    <w:rsid w:val="0033402C"/>
    <w:rsid w:val="00340521"/>
    <w:rsid w:val="003455CB"/>
    <w:rsid w:val="00345C73"/>
    <w:rsid w:val="003465E1"/>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0ED4"/>
    <w:rsid w:val="003F5B46"/>
    <w:rsid w:val="00401363"/>
    <w:rsid w:val="00402E47"/>
    <w:rsid w:val="00425015"/>
    <w:rsid w:val="00430994"/>
    <w:rsid w:val="00432F69"/>
    <w:rsid w:val="004331F2"/>
    <w:rsid w:val="00441B6D"/>
    <w:rsid w:val="0044343F"/>
    <w:rsid w:val="0045191A"/>
    <w:rsid w:val="004556EF"/>
    <w:rsid w:val="004616EB"/>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70CAB"/>
    <w:rsid w:val="00580C24"/>
    <w:rsid w:val="005968EF"/>
    <w:rsid w:val="00596C1E"/>
    <w:rsid w:val="005A1140"/>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37604"/>
    <w:rsid w:val="00640B58"/>
    <w:rsid w:val="00650955"/>
    <w:rsid w:val="00651B02"/>
    <w:rsid w:val="00651B19"/>
    <w:rsid w:val="0065433B"/>
    <w:rsid w:val="00660A29"/>
    <w:rsid w:val="006643DF"/>
    <w:rsid w:val="0069365E"/>
    <w:rsid w:val="00695519"/>
    <w:rsid w:val="006A1C8D"/>
    <w:rsid w:val="006A4134"/>
    <w:rsid w:val="006A5DDA"/>
    <w:rsid w:val="006A6701"/>
    <w:rsid w:val="006B21F4"/>
    <w:rsid w:val="006B3753"/>
    <w:rsid w:val="006B7AD6"/>
    <w:rsid w:val="006C11E2"/>
    <w:rsid w:val="006C50FD"/>
    <w:rsid w:val="006D44C1"/>
    <w:rsid w:val="006E5651"/>
    <w:rsid w:val="006E5B85"/>
    <w:rsid w:val="006F2486"/>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D74A6"/>
    <w:rsid w:val="007E1E87"/>
    <w:rsid w:val="007E3E0D"/>
    <w:rsid w:val="007E5B3F"/>
    <w:rsid w:val="007E736A"/>
    <w:rsid w:val="007E782E"/>
    <w:rsid w:val="007F2257"/>
    <w:rsid w:val="0080091D"/>
    <w:rsid w:val="008029E4"/>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C4FFF"/>
    <w:rsid w:val="008D058A"/>
    <w:rsid w:val="008E3924"/>
    <w:rsid w:val="008F13F7"/>
    <w:rsid w:val="008F5B4D"/>
    <w:rsid w:val="009031B0"/>
    <w:rsid w:val="00907425"/>
    <w:rsid w:val="0091760C"/>
    <w:rsid w:val="009233B2"/>
    <w:rsid w:val="00923C34"/>
    <w:rsid w:val="00924152"/>
    <w:rsid w:val="0092513D"/>
    <w:rsid w:val="00927A9F"/>
    <w:rsid w:val="00930DB1"/>
    <w:rsid w:val="009335CC"/>
    <w:rsid w:val="00935A55"/>
    <w:rsid w:val="00941CEB"/>
    <w:rsid w:val="00953B28"/>
    <w:rsid w:val="00954322"/>
    <w:rsid w:val="00957CAA"/>
    <w:rsid w:val="0096778A"/>
    <w:rsid w:val="009703F2"/>
    <w:rsid w:val="009706FC"/>
    <w:rsid w:val="0097288A"/>
    <w:rsid w:val="00977656"/>
    <w:rsid w:val="0098448F"/>
    <w:rsid w:val="00985FCA"/>
    <w:rsid w:val="00986CE8"/>
    <w:rsid w:val="0098794D"/>
    <w:rsid w:val="00992148"/>
    <w:rsid w:val="0099497B"/>
    <w:rsid w:val="009A5F02"/>
    <w:rsid w:val="009B0D05"/>
    <w:rsid w:val="009B28BA"/>
    <w:rsid w:val="009B4252"/>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7180D"/>
    <w:rsid w:val="00A95163"/>
    <w:rsid w:val="00AA40D7"/>
    <w:rsid w:val="00AB0C79"/>
    <w:rsid w:val="00AB5F7D"/>
    <w:rsid w:val="00AC0C50"/>
    <w:rsid w:val="00AC4412"/>
    <w:rsid w:val="00AC6FE2"/>
    <w:rsid w:val="00AD53AC"/>
    <w:rsid w:val="00AE07DF"/>
    <w:rsid w:val="00AF3925"/>
    <w:rsid w:val="00AF68A6"/>
    <w:rsid w:val="00B011DA"/>
    <w:rsid w:val="00B2292F"/>
    <w:rsid w:val="00B27399"/>
    <w:rsid w:val="00B43169"/>
    <w:rsid w:val="00B445D6"/>
    <w:rsid w:val="00B55AE4"/>
    <w:rsid w:val="00B739B0"/>
    <w:rsid w:val="00B814A3"/>
    <w:rsid w:val="00B900CE"/>
    <w:rsid w:val="00B924EC"/>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07F8"/>
    <w:rsid w:val="00C53DFC"/>
    <w:rsid w:val="00C57B5C"/>
    <w:rsid w:val="00C61049"/>
    <w:rsid w:val="00C63FFE"/>
    <w:rsid w:val="00C70D2F"/>
    <w:rsid w:val="00C800C2"/>
    <w:rsid w:val="00C91EB6"/>
    <w:rsid w:val="00C92EA5"/>
    <w:rsid w:val="00C93033"/>
    <w:rsid w:val="00CA10B0"/>
    <w:rsid w:val="00CA2A58"/>
    <w:rsid w:val="00CA2F5B"/>
    <w:rsid w:val="00CA2F8E"/>
    <w:rsid w:val="00CA7FD5"/>
    <w:rsid w:val="00CB3287"/>
    <w:rsid w:val="00CB33E2"/>
    <w:rsid w:val="00CB4E68"/>
    <w:rsid w:val="00CC13B0"/>
    <w:rsid w:val="00CC2733"/>
    <w:rsid w:val="00CD0050"/>
    <w:rsid w:val="00CD61E0"/>
    <w:rsid w:val="00CE1572"/>
    <w:rsid w:val="00CE7481"/>
    <w:rsid w:val="00CF0A8F"/>
    <w:rsid w:val="00D048CE"/>
    <w:rsid w:val="00D10998"/>
    <w:rsid w:val="00D1622A"/>
    <w:rsid w:val="00D23391"/>
    <w:rsid w:val="00D31805"/>
    <w:rsid w:val="00D42915"/>
    <w:rsid w:val="00D552B9"/>
    <w:rsid w:val="00D6541C"/>
    <w:rsid w:val="00D74021"/>
    <w:rsid w:val="00D76D01"/>
    <w:rsid w:val="00D82E46"/>
    <w:rsid w:val="00D83741"/>
    <w:rsid w:val="00D922A9"/>
    <w:rsid w:val="00D9394A"/>
    <w:rsid w:val="00DA5E84"/>
    <w:rsid w:val="00DB0CBB"/>
    <w:rsid w:val="00DB67CC"/>
    <w:rsid w:val="00DC00B3"/>
    <w:rsid w:val="00DD7EE4"/>
    <w:rsid w:val="00DE1070"/>
    <w:rsid w:val="00DF2291"/>
    <w:rsid w:val="00DF5346"/>
    <w:rsid w:val="00E00219"/>
    <w:rsid w:val="00E0316B"/>
    <w:rsid w:val="00E10B02"/>
    <w:rsid w:val="00E139AB"/>
    <w:rsid w:val="00E14666"/>
    <w:rsid w:val="00E167FB"/>
    <w:rsid w:val="00E25520"/>
    <w:rsid w:val="00E25E10"/>
    <w:rsid w:val="00E5219B"/>
    <w:rsid w:val="00E5518B"/>
    <w:rsid w:val="00E609FE"/>
    <w:rsid w:val="00E612B4"/>
    <w:rsid w:val="00E72B38"/>
    <w:rsid w:val="00E75920"/>
    <w:rsid w:val="00E76248"/>
    <w:rsid w:val="00E80D96"/>
    <w:rsid w:val="00E871FA"/>
    <w:rsid w:val="00E936A4"/>
    <w:rsid w:val="00E954BB"/>
    <w:rsid w:val="00EA45E7"/>
    <w:rsid w:val="00EB06B2"/>
    <w:rsid w:val="00EB4FA9"/>
    <w:rsid w:val="00EB78E3"/>
    <w:rsid w:val="00EC1C4B"/>
    <w:rsid w:val="00EC2D8D"/>
    <w:rsid w:val="00EC735A"/>
    <w:rsid w:val="00EF27FE"/>
    <w:rsid w:val="00EF4187"/>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1EA5"/>
    <w:rsid w:val="00F833AE"/>
    <w:rsid w:val="00F842AD"/>
    <w:rsid w:val="00F914EB"/>
    <w:rsid w:val="00F91B85"/>
    <w:rsid w:val="00FA3B17"/>
    <w:rsid w:val="00FA5E8D"/>
    <w:rsid w:val="00FA5F3D"/>
    <w:rsid w:val="00FB399E"/>
    <w:rsid w:val="00FB7F50"/>
    <w:rsid w:val="00FC271F"/>
    <w:rsid w:val="00FC2A85"/>
    <w:rsid w:val="00FC2C40"/>
    <w:rsid w:val="00FC40AF"/>
    <w:rsid w:val="00FD0A16"/>
    <w:rsid w:val="00FE2BFB"/>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D6587"/>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A6"/>
    <w:pPr>
      <w:bidi/>
      <w:spacing w:line="276" w:lineRule="auto"/>
      <w:ind w:left="720"/>
    </w:pPr>
    <w:rPr>
      <w:rFonts w:ascii="IRLotus" w:hAnsi="IRLotu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4926239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2220B-8DB8-49B0-9C0A-C7910D5D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811</TotalTime>
  <Pages>10</Pages>
  <Words>3466</Words>
  <Characters>19760</Characters>
  <Application>Microsoft Office Word</Application>
  <DocSecurity>0</DocSecurity>
  <Lines>164</Lines>
  <Paragraphs>46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23180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20</cp:revision>
  <cp:lastPrinted>2024-05-05T16:53:00Z</cp:lastPrinted>
  <dcterms:created xsi:type="dcterms:W3CDTF">2024-04-30T15:23:00Z</dcterms:created>
  <dcterms:modified xsi:type="dcterms:W3CDTF">2024-05-08T04:05:00Z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14030210</vt:lpwstr>
  </property>
  <property fmtid="{D5CDD505-2E9C-101B-9397-08002B2CF9AE}" pid="6" name="SpecialTopic">
    <vt:lpwstr>معانی ماده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105</vt:lpwstr>
  </property>
  <property fmtid="{D5CDD505-2E9C-101B-9397-08002B2CF9AE}" pid="10" name="Day">
    <vt:lpwstr>دوشنبه</vt:lpwstr>
  </property>
</Properties>
</file>