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5B83" w14:textId="57FEF442" w:rsidR="0060683F" w:rsidRDefault="0060683F" w:rsidP="000768D9">
      <w:pPr>
        <w:pStyle w:val="Heading3"/>
        <w:jc w:val="both"/>
        <w:rPr>
          <w:rStyle w:val="Emphasis"/>
          <w:rtl/>
        </w:rPr>
      </w:pPr>
    </w:p>
    <w:p w14:paraId="45243B0E" w14:textId="77777777" w:rsidR="00D404F8" w:rsidRDefault="00D404F8" w:rsidP="00D404F8">
      <w:pPr>
        <w:jc w:val="center"/>
        <w:rPr>
          <w:rStyle w:val="Emphasis"/>
          <w:rtl/>
        </w:rPr>
      </w:pPr>
      <w:r>
        <w:rPr>
          <w:rStyle w:val="Emphasis"/>
          <w:rFonts w:hint="cs"/>
          <w:rtl/>
        </w:rPr>
        <w:t>بسمه تعالی</w:t>
      </w:r>
    </w:p>
    <w:p w14:paraId="19FA533E" w14:textId="77777777" w:rsidR="00D404F8" w:rsidRDefault="00D404F8" w:rsidP="00D404F8">
      <w:pPr>
        <w:jc w:val="center"/>
        <w:rPr>
          <w:rStyle w:val="Emphasis"/>
          <w:rtl/>
        </w:rPr>
      </w:pPr>
    </w:p>
    <w:p w14:paraId="1E636E44" w14:textId="77777777" w:rsidR="00E145CA" w:rsidRDefault="00D404F8" w:rsidP="00E145CA">
      <w:pPr>
        <w:autoSpaceDE w:val="0"/>
        <w:autoSpaceDN w:val="0"/>
        <w:adjustRightInd w:val="0"/>
        <w:spacing w:line="240" w:lineRule="auto"/>
        <w:jc w:val="both"/>
        <w:rPr>
          <w:rFonts w:ascii="IRANSans" w:hAnsi="IRANSans" w:cs="IRANSans"/>
          <w:b/>
          <w:bCs/>
          <w:color w:val="C00000"/>
          <w:shd w:val="clear" w:color="auto" w:fill="FFFFFF"/>
          <w:lang w:val="x-none"/>
        </w:rPr>
      </w:pPr>
      <w:r w:rsidRPr="008E631B">
        <w:rPr>
          <w:noProof/>
          <w:webHidden/>
        </w:rPr>
        <w:fldChar w:fldCharType="begin"/>
      </w:r>
      <w:r w:rsidRPr="008E631B">
        <w:rPr>
          <w:noProof/>
          <w:webHidden/>
          <w:rtl/>
        </w:rPr>
        <w:instrText xml:space="preserve"> </w:instrText>
      </w:r>
      <w:r w:rsidRPr="008E631B">
        <w:rPr>
          <w:noProof/>
          <w:webHidden/>
        </w:rPr>
        <w:instrText>TOC</w:instrText>
      </w:r>
      <w:r w:rsidRPr="008E631B">
        <w:rPr>
          <w:noProof/>
          <w:webHidden/>
          <w:rtl/>
        </w:rPr>
        <w:instrText xml:space="preserve"> \</w:instrText>
      </w:r>
      <w:r w:rsidRPr="008E631B">
        <w:rPr>
          <w:noProof/>
          <w:webHidden/>
        </w:rPr>
        <w:instrText>o "1-9" \h \z \u</w:instrText>
      </w:r>
      <w:r w:rsidRPr="008E631B">
        <w:rPr>
          <w:noProof/>
          <w:webHidden/>
          <w:rtl/>
        </w:rPr>
        <w:instrText xml:space="preserve"> </w:instrText>
      </w:r>
      <w:r w:rsidRPr="008E631B">
        <w:rPr>
          <w:noProof/>
          <w:webHidden/>
        </w:rPr>
        <w:fldChar w:fldCharType="end"/>
      </w:r>
      <w:r w:rsidRPr="008E631B">
        <w:rPr>
          <w:noProof/>
          <w:webHidden/>
          <w:rtl/>
        </w:rPr>
        <w:fldChar w:fldCharType="begin"/>
      </w:r>
      <w:r w:rsidRPr="008E631B">
        <w:rPr>
          <w:noProof/>
          <w:webHidden/>
          <w:rtl/>
        </w:rPr>
        <w:instrText xml:space="preserve"> </w:instrText>
      </w:r>
      <w:r w:rsidRPr="008E631B">
        <w:rPr>
          <w:noProof/>
          <w:webHidden/>
        </w:rPr>
        <w:instrText>TOC</w:instrText>
      </w:r>
      <w:r w:rsidRPr="008E631B">
        <w:rPr>
          <w:noProof/>
          <w:webHidden/>
          <w:rtl/>
        </w:rPr>
        <w:instrText xml:space="preserve"> \</w:instrText>
      </w:r>
      <w:r w:rsidRPr="008E631B">
        <w:rPr>
          <w:noProof/>
          <w:webHidden/>
        </w:rPr>
        <w:instrText>o "1-9" \h \z \u</w:instrText>
      </w:r>
      <w:r w:rsidRPr="008E631B">
        <w:rPr>
          <w:noProof/>
          <w:webHidden/>
          <w:rtl/>
        </w:rPr>
        <w:instrText xml:space="preserve"> </w:instrText>
      </w:r>
      <w:r w:rsidRPr="008E631B">
        <w:rPr>
          <w:noProof/>
          <w:webHidden/>
          <w:rtl/>
        </w:rPr>
        <w:fldChar w:fldCharType="end"/>
      </w:r>
      <w:r w:rsidRPr="008E631B">
        <w:rPr>
          <w:noProof/>
          <w:webHidden/>
          <w:rtl/>
        </w:rPr>
        <w:fldChar w:fldCharType="begin"/>
      </w:r>
      <w:r w:rsidRPr="008E631B">
        <w:rPr>
          <w:noProof/>
          <w:webHidden/>
          <w:rtl/>
        </w:rPr>
        <w:instrText xml:space="preserve"> </w:instrText>
      </w:r>
      <w:r w:rsidRPr="008E631B">
        <w:rPr>
          <w:noProof/>
          <w:webHidden/>
        </w:rPr>
        <w:instrText>TOC</w:instrText>
      </w:r>
      <w:r w:rsidRPr="008E631B">
        <w:rPr>
          <w:noProof/>
          <w:webHidden/>
          <w:rtl/>
        </w:rPr>
        <w:instrText xml:space="preserve"> \</w:instrText>
      </w:r>
      <w:r w:rsidRPr="008E631B">
        <w:rPr>
          <w:noProof/>
          <w:webHidden/>
        </w:rPr>
        <w:instrText>o "1-9" \h \z \u</w:instrText>
      </w:r>
      <w:r w:rsidRPr="008E631B">
        <w:rPr>
          <w:noProof/>
          <w:webHidden/>
          <w:rtl/>
        </w:rPr>
        <w:instrText xml:space="preserve"> </w:instrText>
      </w:r>
      <w:r w:rsidRPr="008E631B">
        <w:rPr>
          <w:noProof/>
          <w:webHidden/>
          <w:rtl/>
        </w:rPr>
        <w:fldChar w:fldCharType="end"/>
      </w:r>
      <w:r w:rsidRPr="008E631B">
        <w:rPr>
          <w:noProof/>
          <w:webHidden/>
          <w:rtl/>
        </w:rPr>
        <w:fldChar w:fldCharType="begin"/>
      </w:r>
      <w:r w:rsidRPr="008E631B">
        <w:rPr>
          <w:noProof/>
          <w:webHidden/>
          <w:rtl/>
        </w:rPr>
        <w:instrText xml:space="preserve"> </w:instrText>
      </w:r>
      <w:r w:rsidRPr="008E631B">
        <w:rPr>
          <w:noProof/>
          <w:webHidden/>
        </w:rPr>
        <w:instrText>TOC</w:instrText>
      </w:r>
      <w:r w:rsidRPr="008E631B">
        <w:rPr>
          <w:noProof/>
          <w:webHidden/>
          <w:rtl/>
        </w:rPr>
        <w:instrText xml:space="preserve"> \</w:instrText>
      </w:r>
      <w:r w:rsidRPr="008E631B">
        <w:rPr>
          <w:noProof/>
          <w:webHidden/>
        </w:rPr>
        <w:instrText>o "1-9" \h \z \u</w:instrText>
      </w:r>
      <w:r w:rsidRPr="008E631B">
        <w:rPr>
          <w:noProof/>
          <w:webHidden/>
          <w:rtl/>
        </w:rPr>
        <w:instrText xml:space="preserve"> </w:instrText>
      </w:r>
      <w:r w:rsidRPr="008E631B">
        <w:rPr>
          <w:noProof/>
          <w:webHidden/>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color w:val="000000" w:themeColor="text1"/>
          <w:rtl/>
        </w:rPr>
        <w:instrText xml:space="preserve"> </w:instrText>
      </w:r>
      <w:r w:rsidRPr="008E631B">
        <w:rPr>
          <w:rFonts w:cs="Traditional Arabic" w:hint="cs"/>
          <w:color w:val="000000" w:themeColor="text1"/>
          <w:rtl/>
        </w:rPr>
        <w:instrText>\</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color w:val="000000" w:themeColor="text1"/>
          <w:rtl/>
        </w:rPr>
        <w:instrText xml:space="preserve"> </w:instrText>
      </w:r>
      <w:r w:rsidRPr="008E631B">
        <w:rPr>
          <w:rFonts w:cs="Traditional Arabic"/>
          <w:color w:val="000000" w:themeColor="text1"/>
        </w:rPr>
        <w:instrText>TOC</w:instrText>
      </w:r>
      <w:r w:rsidRPr="008E631B">
        <w:rPr>
          <w:rFonts w:cs="Traditional Arabic" w:hint="cs"/>
          <w:color w:val="000000" w:themeColor="text1"/>
          <w:rtl/>
        </w:rPr>
        <w:instrText xml:space="preserve"> \</w:instrText>
      </w:r>
      <w:r w:rsidRPr="008E631B">
        <w:rPr>
          <w:rFonts w:cs="Traditional Arabic"/>
          <w:color w:val="000000" w:themeColor="text1"/>
        </w:rPr>
        <w:instrText>o "1-5" \h \z \u</w:instrText>
      </w:r>
      <w:r w:rsidRPr="008E631B">
        <w:rPr>
          <w:rFonts w:cs="Traditional Arabic"/>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color w:val="000000" w:themeColor="text1"/>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Fonts w:cs="Traditional Arabic" w:hint="cs"/>
          <w:i/>
          <w:color w:val="000000" w:themeColor="text1"/>
          <w:rtl/>
        </w:rPr>
        <w:fldChar w:fldCharType="begin"/>
      </w:r>
      <w:r w:rsidRPr="008E631B">
        <w:rPr>
          <w:rFonts w:cs="Traditional Arabic" w:hint="cs"/>
          <w:i/>
          <w:color w:val="000000" w:themeColor="text1"/>
          <w:rtl/>
        </w:rPr>
        <w:instrText xml:space="preserve"> </w:instrText>
      </w:r>
      <w:r w:rsidRPr="008E631B">
        <w:rPr>
          <w:rFonts w:cs="Traditional Arabic"/>
          <w:i/>
          <w:color w:val="000000" w:themeColor="text1"/>
        </w:rPr>
        <w:instrText>TOC</w:instrText>
      </w:r>
      <w:r w:rsidRPr="008E631B">
        <w:rPr>
          <w:rFonts w:cs="Traditional Arabic" w:hint="cs"/>
          <w:i/>
          <w:color w:val="000000" w:themeColor="text1"/>
          <w:rtl/>
        </w:rPr>
        <w:instrText xml:space="preserve"> \</w:instrText>
      </w:r>
      <w:r w:rsidRPr="008E631B">
        <w:rPr>
          <w:rFonts w:cs="Traditional Arabic"/>
          <w:i/>
          <w:color w:val="000000" w:themeColor="text1"/>
        </w:rPr>
        <w:instrText>o "1-5" \h \z \u</w:instrText>
      </w:r>
      <w:r w:rsidRPr="008E631B">
        <w:rPr>
          <w:rFonts w:cs="Traditional Arabic"/>
          <w:i/>
          <w:color w:val="000000" w:themeColor="text1"/>
          <w:rtl/>
        </w:rPr>
        <w:instrText xml:space="preserve"> </w:instrText>
      </w:r>
      <w:r w:rsidRPr="008E631B">
        <w:rPr>
          <w:rFonts w:cs="Traditional Arabic" w:hint="cs"/>
          <w:i/>
          <w:color w:val="000000" w:themeColor="text1"/>
          <w:rtl/>
        </w:rPr>
        <w:fldChar w:fldCharType="end"/>
      </w:r>
      <w:r w:rsidRPr="008E631B">
        <w:rPr>
          <w:rStyle w:val="Emphasis"/>
          <w:rFonts w:cs="Traditional Arabic"/>
          <w:i w:val="0"/>
          <w:color w:val="000000" w:themeColor="text1"/>
          <w:rtl/>
        </w:rPr>
        <w:fldChar w:fldCharType="begin"/>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Pr>
        <w:instrText>TOC</w:instrText>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Pr>
        <w:instrText>o "1-5" \h \z \u</w:instrText>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tl/>
        </w:rPr>
        <w:fldChar w:fldCharType="end"/>
      </w:r>
      <w:r w:rsidRPr="008E631B">
        <w:rPr>
          <w:rStyle w:val="Emphasis"/>
          <w:rFonts w:cs="Traditional Arabic"/>
          <w:color w:val="000000" w:themeColor="text1"/>
          <w:rtl/>
        </w:rPr>
        <w:fldChar w:fldCharType="begin"/>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Pr>
        <w:instrText>TOC</w:instrText>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Pr>
        <w:instrText>o "1-5" \h \z \u</w:instrText>
      </w:r>
      <w:r w:rsidRPr="008E631B">
        <w:rPr>
          <w:rStyle w:val="Emphasis"/>
          <w:rFonts w:cs="Traditional Arabic"/>
          <w:i w:val="0"/>
          <w:color w:val="000000" w:themeColor="text1"/>
          <w:rtl/>
        </w:rPr>
        <w:instrText xml:space="preserve"> </w:instrText>
      </w:r>
      <w:r w:rsidRPr="008E631B">
        <w:rPr>
          <w:rStyle w:val="Emphasis"/>
          <w:rFonts w:cs="Traditional Arabic"/>
          <w:color w:val="000000" w:themeColor="text1"/>
          <w:rtl/>
        </w:rPr>
        <w:fldChar w:fldCharType="end"/>
      </w:r>
      <w:r w:rsidRPr="008E631B">
        <w:rPr>
          <w:rStyle w:val="Emphasis"/>
          <w:rFonts w:cs="Traditional Arabic"/>
          <w:color w:val="000000" w:themeColor="text1"/>
          <w:rtl/>
        </w:rPr>
        <w:fldChar w:fldCharType="begin"/>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Pr>
        <w:instrText>TOC</w:instrText>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Pr>
        <w:instrText>o "1-5" \h \z \u</w:instrText>
      </w:r>
      <w:r w:rsidRPr="008E631B">
        <w:rPr>
          <w:rStyle w:val="Emphasis"/>
          <w:rFonts w:cs="Traditional Arabic"/>
          <w:i w:val="0"/>
          <w:color w:val="000000" w:themeColor="text1"/>
          <w:rtl/>
        </w:rPr>
        <w:instrText xml:space="preserve"> </w:instrText>
      </w:r>
      <w:r w:rsidRPr="008E631B">
        <w:rPr>
          <w:rStyle w:val="Emphasis"/>
          <w:rFonts w:cs="Traditional Arabic"/>
          <w:color w:val="000000" w:themeColor="text1"/>
          <w:rtl/>
        </w:rPr>
        <w:fldChar w:fldCharType="end"/>
      </w:r>
      <w:r w:rsidRPr="008E631B">
        <w:rPr>
          <w:rStyle w:val="Emphasis"/>
          <w:rFonts w:cs="Traditional Arabic"/>
          <w:color w:val="000000" w:themeColor="text1"/>
          <w:rtl/>
        </w:rPr>
        <w:fldChar w:fldCharType="begin"/>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Pr>
        <w:instrText>TOC</w:instrText>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Pr>
        <w:instrText>o "1-5" \h \z \u</w:instrText>
      </w:r>
      <w:r w:rsidRPr="008E631B">
        <w:rPr>
          <w:rStyle w:val="Emphasis"/>
          <w:rFonts w:cs="Traditional Arabic"/>
          <w:i w:val="0"/>
          <w:color w:val="000000" w:themeColor="text1"/>
          <w:rtl/>
        </w:rPr>
        <w:instrText xml:space="preserve"> </w:instrText>
      </w:r>
      <w:r w:rsidRPr="008E631B">
        <w:rPr>
          <w:rStyle w:val="Emphasis"/>
          <w:rFonts w:cs="Traditional Arabic"/>
          <w:color w:val="000000" w:themeColor="text1"/>
          <w:rtl/>
        </w:rPr>
        <w:fldChar w:fldCharType="end"/>
      </w:r>
      <w:r w:rsidRPr="008E631B">
        <w:rPr>
          <w:rStyle w:val="Emphasis"/>
          <w:rFonts w:cs="Traditional Arabic"/>
          <w:color w:val="000000" w:themeColor="text1"/>
          <w:rtl/>
        </w:rPr>
        <w:fldChar w:fldCharType="begin"/>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Pr>
        <w:instrText>TOC</w:instrText>
      </w:r>
      <w:r w:rsidRPr="008E631B">
        <w:rPr>
          <w:rStyle w:val="Emphasis"/>
          <w:rFonts w:cs="Traditional Arabic"/>
          <w:i w:val="0"/>
          <w:color w:val="000000" w:themeColor="text1"/>
          <w:rtl/>
        </w:rPr>
        <w:instrText xml:space="preserve"> \</w:instrText>
      </w:r>
      <w:r w:rsidRPr="008E631B">
        <w:rPr>
          <w:rStyle w:val="Emphasis"/>
          <w:rFonts w:cs="Traditional Arabic"/>
          <w:i w:val="0"/>
          <w:color w:val="000000" w:themeColor="text1"/>
        </w:rPr>
        <w:instrText>o "1-5" \h \z \u</w:instrText>
      </w:r>
      <w:r w:rsidRPr="008E631B">
        <w:rPr>
          <w:rStyle w:val="Emphasis"/>
          <w:rFonts w:cs="Traditional Arabic"/>
          <w:i w:val="0"/>
          <w:color w:val="000000" w:themeColor="text1"/>
          <w:rtl/>
        </w:rPr>
        <w:instrText xml:space="preserve"> </w:instrText>
      </w:r>
      <w:r w:rsidRPr="008E631B">
        <w:rPr>
          <w:rStyle w:val="Emphasis"/>
          <w:rFonts w:cs="Traditional Arabic"/>
          <w:color w:val="000000" w:themeColor="text1"/>
          <w:rtl/>
        </w:rPr>
        <w:fldChar w:fldCharType="end"/>
      </w:r>
      <w:r w:rsidRPr="008E631B">
        <w:rPr>
          <w:rFonts w:ascii="Times New Roman" w:eastAsia="Times New Roman" w:hAnsi="Times New Roman" w:cs="Times New Roman"/>
          <w:i/>
          <w:sz w:val="24"/>
          <w:szCs w:val="24"/>
          <w:rtl/>
        </w:rPr>
        <w:t>  </w:t>
      </w:r>
      <w:r w:rsidR="00E145CA">
        <w:rPr>
          <w:rFonts w:ascii="IRANSans" w:hAnsi="IRANSans" w:cs="IRANSans"/>
          <w:b/>
          <w:bCs/>
          <w:color w:val="C00000"/>
          <w:shd w:val="clear" w:color="auto" w:fill="FFFFFF"/>
          <w:rtl/>
          <w:lang w:val="x-none"/>
        </w:rPr>
        <w:t>درس خارج اصول استاد معظم حاج سید محمد جواد شبیری</w:t>
      </w:r>
    </w:p>
    <w:p w14:paraId="6789E5A4" w14:textId="49220F43" w:rsidR="00E145CA" w:rsidRDefault="00E145CA" w:rsidP="00E145CA">
      <w:pPr>
        <w:autoSpaceDE w:val="0"/>
        <w:autoSpaceDN w:val="0"/>
        <w:adjustRightInd w:val="0"/>
        <w:spacing w:line="240" w:lineRule="auto"/>
        <w:jc w:val="both"/>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14030</w:t>
      </w:r>
      <w:r>
        <w:rPr>
          <w:rFonts w:ascii="IRANSans" w:hAnsi="IRANSans" w:cs="IRANSans"/>
          <w:b/>
          <w:bCs/>
          <w:color w:val="C00000"/>
          <w:shd w:val="clear" w:color="auto" w:fill="FFFFFF"/>
          <w:rtl/>
        </w:rPr>
        <w:t>9</w:t>
      </w:r>
      <w:r>
        <w:rPr>
          <w:rFonts w:ascii="IRANSans" w:hAnsi="IRANSans" w:cs="IRANSans" w:hint="cs"/>
          <w:b/>
          <w:bCs/>
          <w:color w:val="C00000"/>
          <w:shd w:val="clear" w:color="auto" w:fill="FFFFFF"/>
          <w:rtl/>
        </w:rPr>
        <w:t>19</w:t>
      </w:r>
      <w:r>
        <w:rPr>
          <w:noProof/>
          <w:webHidden/>
          <w:rtl/>
        </w:rPr>
        <w:fldChar w:fldCharType="begin"/>
      </w:r>
      <w:r>
        <w:rPr>
          <w:noProof/>
          <w:webHidden/>
          <w:rtl/>
        </w:rPr>
        <w:instrText xml:space="preserve"> </w:instrText>
      </w:r>
      <w:r>
        <w:rPr>
          <w:noProof/>
          <w:webHidden/>
        </w:rPr>
        <w:instrText>TOC</w:instrText>
      </w:r>
      <w:r>
        <w:rPr>
          <w:noProof/>
          <w:webHidden/>
          <w:rtl/>
        </w:rPr>
        <w:instrText xml:space="preserve"> \</w:instrText>
      </w:r>
      <w:r>
        <w:rPr>
          <w:noProof/>
          <w:webHidden/>
        </w:rPr>
        <w:instrText>o "1-9" \h \z \u</w:instrText>
      </w:r>
      <w:r>
        <w:rPr>
          <w:noProof/>
          <w:webHidden/>
          <w:rtl/>
        </w:rPr>
        <w:instrText xml:space="preserve"> </w:instrText>
      </w:r>
      <w:r>
        <w:rPr>
          <w:noProof/>
          <w:webHidden/>
          <w:rtl/>
        </w:rPr>
        <w:fldChar w:fldCharType="end"/>
      </w:r>
      <w:r>
        <w:rPr>
          <w:noProof/>
          <w:webHidden/>
          <w:rtl/>
        </w:rPr>
        <w:br/>
      </w:r>
      <w:r>
        <w:rPr>
          <w:rFonts w:ascii="IRANSans" w:hAnsi="IRANSans" w:cs="IRANSans"/>
          <w:b/>
          <w:bCs/>
          <w:webHidden/>
          <w:color w:val="C00000"/>
          <w:shd w:val="clear" w:color="auto" w:fill="FFFFFF"/>
          <w:rtl/>
          <w:lang w:val="x-none"/>
        </w:rPr>
        <w:t xml:space="preserve">شماره جلسه: </w:t>
      </w:r>
      <w:r>
        <w:rPr>
          <w:rFonts w:ascii="IRANSans" w:hAnsi="IRANSans" w:cs="IRANSans" w:hint="cs"/>
          <w:b/>
          <w:bCs/>
          <w:webHidden/>
          <w:color w:val="C00000"/>
          <w:shd w:val="clear" w:color="auto" w:fill="FFFFFF"/>
          <w:rtl/>
          <w:lang w:val="x-none"/>
        </w:rPr>
        <w:t>57</w:t>
      </w:r>
    </w:p>
    <w:p w14:paraId="17DD6FC1" w14:textId="7D8C1A42" w:rsidR="00D404F8" w:rsidRPr="008E631B" w:rsidRDefault="00E145CA" w:rsidP="00E145CA">
      <w:pPr>
        <w:rPr>
          <w:rStyle w:val="Emphasis"/>
          <w:rFonts w:ascii="Calibri" w:hAnsi="Calibri" w:cs="B Badr"/>
          <w:color w:val="984806" w:themeColor="accent6" w:themeShade="80"/>
          <w:sz w:val="22"/>
        </w:rPr>
      </w:pPr>
      <w:r>
        <w:rPr>
          <w:color w:val="984806" w:themeColor="accent6" w:themeShade="80"/>
          <w:rtl/>
        </w:rPr>
        <w:t>مقرر:</w:t>
      </w:r>
      <w:r>
        <w:rPr>
          <w:color w:val="984806" w:themeColor="accent6" w:themeShade="80"/>
          <w:sz w:val="24"/>
          <w:rtl/>
        </w:rPr>
        <w:t xml:space="preserve"> مسعود عطارمنش </w:t>
      </w:r>
      <w:r>
        <w:rPr>
          <w:rFonts w:hint="cs"/>
          <w:color w:val="984806" w:themeColor="accent6" w:themeShade="80"/>
          <w:sz w:val="24"/>
        </w:rPr>
        <w:t xml:space="preserve"> </w:t>
      </w:r>
      <w:r>
        <w:rPr>
          <w:noProof/>
          <w:webHidden/>
        </w:rPr>
        <w:fldChar w:fldCharType="begin"/>
      </w:r>
      <w:r>
        <w:rPr>
          <w:noProof/>
          <w:webHidden/>
          <w:rtl/>
        </w:rPr>
        <w:instrText xml:space="preserve"> </w:instrText>
      </w:r>
      <w:r>
        <w:rPr>
          <w:noProof/>
          <w:webHidden/>
        </w:rPr>
        <w:instrText>TOC</w:instrText>
      </w:r>
      <w:r>
        <w:rPr>
          <w:noProof/>
          <w:webHidden/>
          <w:rtl/>
        </w:rPr>
        <w:instrText xml:space="preserve"> \</w:instrText>
      </w:r>
      <w:r>
        <w:rPr>
          <w:noProof/>
          <w:webHidden/>
        </w:rPr>
        <w:instrText>o "1-9" \h \z \u</w:instrText>
      </w:r>
      <w:r>
        <w:rPr>
          <w:noProof/>
          <w:webHidden/>
          <w:rtl/>
        </w:rPr>
        <w:instrText xml:space="preserve"> </w:instrText>
      </w:r>
      <w:r>
        <w:rPr>
          <w:noProof/>
          <w:webHidden/>
        </w:rPr>
        <w:fldChar w:fldCharType="end"/>
      </w:r>
      <w:r>
        <w:rPr>
          <w:noProof/>
          <w:webHidden/>
          <w:rtl/>
        </w:rPr>
        <w:fldChar w:fldCharType="begin"/>
      </w:r>
      <w:r>
        <w:rPr>
          <w:noProof/>
          <w:webHidden/>
          <w:rtl/>
        </w:rPr>
        <w:instrText xml:space="preserve"> </w:instrText>
      </w:r>
      <w:r>
        <w:rPr>
          <w:noProof/>
          <w:webHidden/>
        </w:rPr>
        <w:instrText>TOC</w:instrText>
      </w:r>
      <w:r>
        <w:rPr>
          <w:noProof/>
          <w:webHidden/>
          <w:rtl/>
        </w:rPr>
        <w:instrText xml:space="preserve"> \</w:instrText>
      </w:r>
      <w:r>
        <w:rPr>
          <w:noProof/>
          <w:webHidden/>
        </w:rPr>
        <w:instrText>o "1-9" \h \z \u</w:instrText>
      </w:r>
      <w:r>
        <w:rPr>
          <w:noProof/>
          <w:webHidden/>
          <w:rtl/>
        </w:rPr>
        <w:instrText xml:space="preserve"> </w:instrText>
      </w:r>
      <w:r>
        <w:rPr>
          <w:noProof/>
          <w:webHidden/>
          <w:rtl/>
        </w:rPr>
        <w:fldChar w:fldCharType="end"/>
      </w:r>
      <w:r>
        <w:rPr>
          <w:noProof/>
          <w:webHidden/>
          <w:rtl/>
        </w:rPr>
        <w:fldChar w:fldCharType="begin"/>
      </w:r>
      <w:r>
        <w:rPr>
          <w:noProof/>
          <w:webHidden/>
          <w:rtl/>
        </w:rPr>
        <w:instrText xml:space="preserve"> </w:instrText>
      </w:r>
      <w:r>
        <w:rPr>
          <w:noProof/>
          <w:webHidden/>
        </w:rPr>
        <w:instrText>TOC</w:instrText>
      </w:r>
      <w:r>
        <w:rPr>
          <w:noProof/>
          <w:webHidden/>
          <w:rtl/>
        </w:rPr>
        <w:instrText xml:space="preserve"> \</w:instrText>
      </w:r>
      <w:r>
        <w:rPr>
          <w:noProof/>
          <w:webHidden/>
        </w:rPr>
        <w:instrText>o "1-9" \h \z \u</w:instrText>
      </w:r>
      <w:r>
        <w:rPr>
          <w:noProof/>
          <w:webHidden/>
          <w:rtl/>
        </w:rPr>
        <w:instrText xml:space="preserve"> </w:instrText>
      </w:r>
      <w:r>
        <w:rPr>
          <w:noProof/>
          <w:webHidden/>
          <w:rtl/>
        </w:rPr>
        <w:fldChar w:fldCharType="end"/>
      </w:r>
      <w:r>
        <w:rPr>
          <w:noProof/>
          <w:webHidden/>
          <w:rtl/>
        </w:rPr>
        <w:fldChar w:fldCharType="begin"/>
      </w:r>
      <w:r>
        <w:rPr>
          <w:noProof/>
          <w:webHidden/>
          <w:rtl/>
        </w:rPr>
        <w:instrText xml:space="preserve"> </w:instrText>
      </w:r>
      <w:r>
        <w:rPr>
          <w:noProof/>
          <w:webHidden/>
        </w:rPr>
        <w:instrText>TOC</w:instrText>
      </w:r>
      <w:r>
        <w:rPr>
          <w:noProof/>
          <w:webHidden/>
          <w:rtl/>
        </w:rPr>
        <w:instrText xml:space="preserve"> \</w:instrText>
      </w:r>
      <w:r>
        <w:rPr>
          <w:noProof/>
          <w:webHidden/>
        </w:rPr>
        <w:instrText>o "1-9" \h \z \u</w:instrText>
      </w:r>
      <w:r>
        <w:rPr>
          <w:noProof/>
          <w:webHidden/>
          <w:rtl/>
        </w:rPr>
        <w:instrText xml:space="preserve"> </w:instrText>
      </w:r>
      <w:r>
        <w:rPr>
          <w:noProof/>
          <w:webHidden/>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b/>
          <w:bCs/>
          <w:color w:val="000000" w:themeColor="text1"/>
          <w:rtl/>
        </w:rPr>
        <w:instrText xml:space="preserve"> </w:instrText>
      </w:r>
      <w:r>
        <w:rPr>
          <w:rFonts w:cs="Traditional Arabic" w:hint="cs"/>
          <w:b/>
          <w:bCs/>
          <w:color w:val="000000" w:themeColor="text1"/>
          <w:rtl/>
        </w:rPr>
        <w:instrText>\</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i/>
          <w:color w:val="000000" w:themeColor="text1"/>
          <w:rtl/>
        </w:rPr>
        <w:instrText xml:space="preserve"> </w:instrText>
      </w:r>
      <w:r>
        <w:rPr>
          <w:rFonts w:cs="Traditional Arabic"/>
          <w:b/>
          <w:i/>
          <w:color w:val="000000" w:themeColor="text1"/>
        </w:rPr>
        <w:instrText>TOC</w:instrText>
      </w:r>
      <w:r>
        <w:rPr>
          <w:rFonts w:cs="Traditional Arabic" w:hint="cs"/>
          <w:b/>
          <w:i/>
          <w:color w:val="000000" w:themeColor="text1"/>
          <w:rtl/>
        </w:rPr>
        <w:instrText xml:space="preserve"> \</w:instrText>
      </w:r>
      <w:r>
        <w:rPr>
          <w:rFonts w:cs="Traditional Arabic"/>
          <w:b/>
          <w:i/>
          <w:color w:val="000000" w:themeColor="text1"/>
        </w:rPr>
        <w:instrText>o "1-5" \h \z \u</w:instrText>
      </w:r>
      <w:r>
        <w:rPr>
          <w:rFonts w:cs="Traditional Arabic"/>
          <w:b/>
          <w:i/>
          <w:color w:val="000000" w:themeColor="text1"/>
          <w:rtl/>
        </w:rPr>
        <w:instrText xml:space="preserve"> </w:instrText>
      </w:r>
      <w:r>
        <w:rPr>
          <w:rFonts w:cs="Traditional Arabic" w:hint="cs"/>
          <w:b/>
          <w:i/>
          <w:color w:val="000000" w:themeColor="text1"/>
          <w:rtl/>
        </w:rPr>
        <w:fldChar w:fldCharType="end"/>
      </w:r>
      <w:r>
        <w:rPr>
          <w:rFonts w:cs="Traditional Arabic" w:hint="cs"/>
          <w:b/>
          <w:i/>
          <w:color w:val="000000" w:themeColor="text1"/>
          <w:rtl/>
        </w:rPr>
        <w:fldChar w:fldCharType="begin"/>
      </w:r>
      <w:r>
        <w:rPr>
          <w:rFonts w:cs="Traditional Arabic" w:hint="cs"/>
          <w:b/>
          <w:i/>
          <w:color w:val="000000" w:themeColor="text1"/>
          <w:rtl/>
        </w:rPr>
        <w:instrText xml:space="preserve"> </w:instrText>
      </w:r>
      <w:r>
        <w:rPr>
          <w:rFonts w:cs="Traditional Arabic"/>
          <w:b/>
          <w:i/>
          <w:color w:val="000000" w:themeColor="text1"/>
        </w:rPr>
        <w:instrText>TOC</w:instrText>
      </w:r>
      <w:r>
        <w:rPr>
          <w:rFonts w:cs="Traditional Arabic" w:hint="cs"/>
          <w:b/>
          <w:i/>
          <w:color w:val="000000" w:themeColor="text1"/>
          <w:rtl/>
        </w:rPr>
        <w:instrText xml:space="preserve"> \</w:instrText>
      </w:r>
      <w:r>
        <w:rPr>
          <w:rFonts w:cs="Traditional Arabic"/>
          <w:b/>
          <w:i/>
          <w:color w:val="000000" w:themeColor="text1"/>
        </w:rPr>
        <w:instrText>o "1-5" \h \z \u</w:instrText>
      </w:r>
      <w:r>
        <w:rPr>
          <w:rFonts w:cs="Traditional Arabic"/>
          <w:b/>
          <w:i/>
          <w:color w:val="000000" w:themeColor="text1"/>
          <w:rtl/>
        </w:rPr>
        <w:instrText xml:space="preserve"> </w:instrText>
      </w:r>
      <w:r>
        <w:rPr>
          <w:rFonts w:cs="Traditional Arabic" w:hint="cs"/>
          <w:b/>
          <w:i/>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i/>
          <w:color w:val="000000" w:themeColor="text1"/>
          <w:rtl/>
        </w:rPr>
        <w:fldChar w:fldCharType="begin"/>
      </w:r>
      <w:r>
        <w:rPr>
          <w:rFonts w:cs="Traditional Arabic" w:hint="cs"/>
          <w:b/>
          <w:i/>
          <w:color w:val="000000" w:themeColor="text1"/>
          <w:rtl/>
        </w:rPr>
        <w:instrText xml:space="preserve"> </w:instrText>
      </w:r>
      <w:r>
        <w:rPr>
          <w:rFonts w:cs="Traditional Arabic"/>
          <w:b/>
          <w:i/>
          <w:color w:val="000000" w:themeColor="text1"/>
        </w:rPr>
        <w:instrText>TOC</w:instrText>
      </w:r>
      <w:r>
        <w:rPr>
          <w:rFonts w:cs="Traditional Arabic" w:hint="cs"/>
          <w:b/>
          <w:i/>
          <w:color w:val="000000" w:themeColor="text1"/>
          <w:rtl/>
        </w:rPr>
        <w:instrText xml:space="preserve"> \</w:instrText>
      </w:r>
      <w:r>
        <w:rPr>
          <w:rFonts w:cs="Traditional Arabic"/>
          <w:b/>
          <w:i/>
          <w:color w:val="000000" w:themeColor="text1"/>
        </w:rPr>
        <w:instrText>o "1-5" \h \z \u</w:instrText>
      </w:r>
      <w:r>
        <w:rPr>
          <w:rFonts w:cs="Traditional Arabic"/>
          <w:b/>
          <w:i/>
          <w:color w:val="000000" w:themeColor="text1"/>
          <w:rtl/>
        </w:rPr>
        <w:instrText xml:space="preserve"> </w:instrText>
      </w:r>
      <w:r>
        <w:rPr>
          <w:rFonts w:cs="Traditional Arabic" w:hint="cs"/>
          <w:b/>
          <w:i/>
          <w:color w:val="000000" w:themeColor="text1"/>
          <w:rtl/>
        </w:rPr>
        <w:fldChar w:fldCharType="end"/>
      </w:r>
      <w:r>
        <w:rPr>
          <w:rStyle w:val="Emphasis"/>
          <w:rFonts w:cs="Traditional Arabic"/>
          <w:b/>
          <w:bCs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color w:val="000000" w:themeColor="text1"/>
          <w:rtl/>
        </w:rPr>
        <w:fldChar w:fldCharType="end"/>
      </w:r>
      <w:r>
        <w:rPr>
          <w:rStyle w:val="Emphasis"/>
          <w:rFonts w:cs="Traditional Arabic"/>
          <w:b/>
          <w:bCs w:val="0"/>
          <w:i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i w:val="0"/>
          <w:color w:val="000000" w:themeColor="text1"/>
          <w:rtl/>
        </w:rPr>
        <w:fldChar w:fldCharType="end"/>
      </w:r>
      <w:r>
        <w:rPr>
          <w:rStyle w:val="Emphasis"/>
          <w:rFonts w:cs="Traditional Arabic"/>
          <w:b/>
          <w:bCs w:val="0"/>
          <w:i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i w:val="0"/>
          <w:color w:val="000000" w:themeColor="text1"/>
          <w:rtl/>
        </w:rPr>
        <w:fldChar w:fldCharType="end"/>
      </w:r>
      <w:r>
        <w:rPr>
          <w:rStyle w:val="Emphasis"/>
          <w:rFonts w:cs="Traditional Arabic"/>
          <w:b/>
          <w:bCs w:val="0"/>
          <w:i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i w:val="0"/>
          <w:color w:val="000000" w:themeColor="text1"/>
          <w:rtl/>
        </w:rPr>
        <w:fldChar w:fldCharType="end"/>
      </w:r>
      <w:r>
        <w:rPr>
          <w:rStyle w:val="Emphasis"/>
          <w:rFonts w:cs="Traditional Arabic"/>
          <w:b/>
          <w:bCs w:val="0"/>
          <w:i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i w:val="0"/>
          <w:color w:val="000000" w:themeColor="text1"/>
          <w:rtl/>
        </w:rPr>
        <w:fldChar w:fldCharType="end"/>
      </w:r>
      <w:r>
        <w:rPr>
          <w:rFonts w:ascii="Times New Roman" w:eastAsia="Times New Roman" w:hAnsi="Times New Roman" w:cs="Times New Roman"/>
          <w:bCs/>
          <w:i/>
          <w:sz w:val="24"/>
          <w:szCs w:val="24"/>
          <w:rtl/>
        </w:rPr>
        <w:t>  </w:t>
      </w:r>
      <w:r>
        <w:rPr>
          <w:rStyle w:val="Emphasis"/>
          <w:rFonts w:cs="Traditional Arabic"/>
          <w:b/>
          <w:bCs w:val="0"/>
          <w:i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i w:val="0"/>
          <w:color w:val="000000" w:themeColor="text1"/>
          <w:rtl/>
        </w:rPr>
        <w:fldChar w:fldCharType="end"/>
      </w:r>
      <w:r w:rsidR="00D404F8" w:rsidRPr="008E631B">
        <w:rPr>
          <w:rStyle w:val="Emphasis"/>
          <w:rFonts w:cs="Traditional Arabic"/>
          <w:color w:val="000000" w:themeColor="text1"/>
          <w:rtl/>
        </w:rPr>
        <w:fldChar w:fldCharType="begin"/>
      </w:r>
      <w:r w:rsidR="00D404F8" w:rsidRPr="008E631B">
        <w:rPr>
          <w:rStyle w:val="Emphasis"/>
          <w:rFonts w:cs="Traditional Arabic"/>
          <w:i w:val="0"/>
          <w:color w:val="000000" w:themeColor="text1"/>
          <w:rtl/>
        </w:rPr>
        <w:instrText xml:space="preserve"> </w:instrText>
      </w:r>
      <w:r w:rsidR="00D404F8" w:rsidRPr="008E631B">
        <w:rPr>
          <w:rStyle w:val="Emphasis"/>
          <w:rFonts w:cs="Traditional Arabic"/>
          <w:i w:val="0"/>
          <w:color w:val="000000" w:themeColor="text1"/>
        </w:rPr>
        <w:instrText>TOC</w:instrText>
      </w:r>
      <w:r w:rsidR="00D404F8" w:rsidRPr="008E631B">
        <w:rPr>
          <w:rStyle w:val="Emphasis"/>
          <w:rFonts w:cs="Traditional Arabic"/>
          <w:i w:val="0"/>
          <w:color w:val="000000" w:themeColor="text1"/>
          <w:rtl/>
        </w:rPr>
        <w:instrText xml:space="preserve"> \</w:instrText>
      </w:r>
      <w:r w:rsidR="00D404F8" w:rsidRPr="008E631B">
        <w:rPr>
          <w:rStyle w:val="Emphasis"/>
          <w:rFonts w:cs="Traditional Arabic"/>
          <w:i w:val="0"/>
          <w:color w:val="000000" w:themeColor="text1"/>
        </w:rPr>
        <w:instrText>o "1-5" \h \z \u</w:instrText>
      </w:r>
      <w:r w:rsidR="00D404F8" w:rsidRPr="008E631B">
        <w:rPr>
          <w:rStyle w:val="Emphasis"/>
          <w:rFonts w:cs="Traditional Arabic"/>
          <w:i w:val="0"/>
          <w:color w:val="000000" w:themeColor="text1"/>
          <w:rtl/>
        </w:rPr>
        <w:instrText xml:space="preserve"> </w:instrText>
      </w:r>
      <w:r w:rsidR="00D404F8" w:rsidRPr="008E631B">
        <w:rPr>
          <w:rStyle w:val="Emphasis"/>
          <w:rFonts w:cs="Traditional Arabic"/>
          <w:color w:val="000000" w:themeColor="text1"/>
          <w:rtl/>
        </w:rPr>
        <w:fldChar w:fldCharType="end"/>
      </w:r>
    </w:p>
    <w:p w14:paraId="25150A45" w14:textId="77777777" w:rsidR="00D404F8" w:rsidRDefault="00D404F8" w:rsidP="00D404F8">
      <w:pPr>
        <w:pStyle w:val="TOC1"/>
        <w:rPr>
          <w:rStyle w:val="Emphasis"/>
          <w:rFonts w:cs="Traditional Arabic"/>
          <w:b/>
          <w:bCs w:val="0"/>
          <w:color w:val="000000" w:themeColor="text1"/>
          <w:rtl/>
        </w:rPr>
      </w:pPr>
      <w:r>
        <w:rPr>
          <w:rStyle w:val="Emphasis"/>
          <w:rFonts w:cs="Traditional Arabic"/>
          <w:b/>
          <w:bCs w:val="0"/>
          <w:color w:val="000000" w:themeColor="text1"/>
          <w:rtl/>
        </w:rPr>
        <w:fldChar w:fldCharType="begin"/>
      </w:r>
      <w:r>
        <w:rPr>
          <w:rStyle w:val="Emphasis"/>
          <w:rFonts w:cs="Traditional Arabic"/>
          <w:b/>
          <w:bCs w:val="0"/>
          <w:color w:val="000000" w:themeColor="text1"/>
          <w:rtl/>
        </w:rPr>
        <w:instrText xml:space="preserve"> </w:instrText>
      </w:r>
      <w:r>
        <w:rPr>
          <w:rStyle w:val="Emphasis"/>
          <w:rFonts w:cs="Traditional Arabic"/>
          <w:b/>
          <w:bCs w:val="0"/>
          <w:color w:val="000000" w:themeColor="text1"/>
        </w:rPr>
        <w:instrText>TOC</w:instrText>
      </w:r>
      <w:r>
        <w:rPr>
          <w:rStyle w:val="Emphasis"/>
          <w:rFonts w:cs="Traditional Arabic"/>
          <w:b/>
          <w:bCs w:val="0"/>
          <w:color w:val="000000" w:themeColor="text1"/>
          <w:rtl/>
        </w:rPr>
        <w:instrText xml:space="preserve"> \</w:instrText>
      </w:r>
      <w:r>
        <w:rPr>
          <w:rStyle w:val="Emphasis"/>
          <w:rFonts w:cs="Traditional Arabic"/>
          <w:b/>
          <w:bCs w:val="0"/>
          <w:color w:val="000000" w:themeColor="text1"/>
        </w:rPr>
        <w:instrText>o "1-5" \h \z \u</w:instrText>
      </w:r>
      <w:r>
        <w:rPr>
          <w:rStyle w:val="Emphasis"/>
          <w:rFonts w:cs="Traditional Arabic"/>
          <w:b/>
          <w:bCs w:val="0"/>
          <w:color w:val="000000" w:themeColor="text1"/>
          <w:rtl/>
        </w:rPr>
        <w:instrText xml:space="preserve"> </w:instrText>
      </w:r>
      <w:r>
        <w:rPr>
          <w:rStyle w:val="Emphasis"/>
          <w:rFonts w:cs="Traditional Arabic"/>
          <w:b/>
          <w:bCs w:val="0"/>
          <w:color w:val="000000" w:themeColor="text1"/>
          <w:rtl/>
        </w:rPr>
        <w:fldChar w:fldCharType="end"/>
      </w:r>
    </w:p>
    <w:p w14:paraId="6544F6BA" w14:textId="21BA1D08" w:rsidR="00D404F8" w:rsidRDefault="00D404F8" w:rsidP="00D404F8">
      <w:pPr>
        <w:jc w:val="both"/>
        <w:rPr>
          <w:rtl/>
        </w:rPr>
      </w:pPr>
      <w:r w:rsidRPr="00D404F8">
        <w:rPr>
          <w:rStyle w:val="Emphasis"/>
          <w:rFonts w:hint="cs"/>
          <w:color w:val="FF0000"/>
          <w:rtl/>
        </w:rPr>
        <w:t>موضوع:</w:t>
      </w:r>
      <w:r>
        <w:rPr>
          <w:rFonts w:hint="cs"/>
          <w:rtl/>
        </w:rPr>
        <w:t xml:space="preserve"> </w:t>
      </w:r>
      <w:bookmarkStart w:id="0" w:name="Bokkolli"/>
      <w:bookmarkEnd w:id="0"/>
      <w:r>
        <w:rPr>
          <w:rFonts w:hint="cs"/>
          <w:rtl/>
        </w:rPr>
        <w:t>اوامر/</w:t>
      </w:r>
      <w:bookmarkStart w:id="1" w:name="BokSabj_d"/>
      <w:bookmarkEnd w:id="1"/>
      <w:r>
        <w:rPr>
          <w:rFonts w:hint="cs"/>
          <w:rtl/>
        </w:rPr>
        <w:t>صیغۀ</w:t>
      </w:r>
      <w:r>
        <w:rPr>
          <w:rFonts w:cs="Sakkal Majalla" w:hint="cs"/>
          <w:rtl/>
        </w:rPr>
        <w:t xml:space="preserve"> ا</w:t>
      </w:r>
      <w:bookmarkStart w:id="2" w:name="BokSabj2_d"/>
      <w:bookmarkEnd w:id="2"/>
      <w:r>
        <w:rPr>
          <w:rFonts w:cs="Sakkal Majalla" w:hint="cs"/>
          <w:rtl/>
        </w:rPr>
        <w:t>مر</w:t>
      </w:r>
      <w:r>
        <w:rPr>
          <w:rFonts w:hint="cs"/>
          <w:rtl/>
        </w:rPr>
        <w:t xml:space="preserve"> / وقوع امر عقیب حظر یا </w:t>
      </w:r>
      <w:bookmarkStart w:id="3" w:name="_GoBack"/>
      <w:bookmarkEnd w:id="3"/>
      <w:r>
        <w:rPr>
          <w:rFonts w:hint="cs"/>
          <w:rtl/>
        </w:rPr>
        <w:t>در مقام توهّم حظر</w:t>
      </w:r>
    </w:p>
    <w:p w14:paraId="7AF435E1" w14:textId="77777777" w:rsidR="00D404F8" w:rsidRDefault="00D404F8" w:rsidP="00D404F8">
      <w:pPr>
        <w:jc w:val="both"/>
        <w:rPr>
          <w:rStyle w:val="Emphasis"/>
          <w:rtl/>
        </w:rPr>
      </w:pPr>
    </w:p>
    <w:p w14:paraId="7476F608" w14:textId="3C624A2E" w:rsidR="001D5B01" w:rsidRDefault="00B92756" w:rsidP="000768D9">
      <w:pPr>
        <w:pStyle w:val="Heading1"/>
        <w:jc w:val="both"/>
        <w:rPr>
          <w:rtl/>
        </w:rPr>
      </w:pPr>
      <w:bookmarkStart w:id="4" w:name="_Toc184622571"/>
      <w:r>
        <w:rPr>
          <w:rFonts w:hint="cs"/>
          <w:rtl/>
        </w:rPr>
        <w:t xml:space="preserve">وقوع امر </w:t>
      </w:r>
      <w:r w:rsidR="00AB08DB">
        <w:rPr>
          <w:rFonts w:hint="cs"/>
          <w:rtl/>
        </w:rPr>
        <w:t xml:space="preserve">عقیب حظر یا </w:t>
      </w:r>
      <w:r>
        <w:rPr>
          <w:rFonts w:hint="cs"/>
          <w:rtl/>
        </w:rPr>
        <w:t>در مقام توهّم حظر</w:t>
      </w:r>
      <w:bookmarkEnd w:id="4"/>
    </w:p>
    <w:p w14:paraId="44EBB3B6" w14:textId="6406C085" w:rsidR="00AB08DB" w:rsidRDefault="00B92756" w:rsidP="000768D9">
      <w:pPr>
        <w:jc w:val="both"/>
        <w:rPr>
          <w:rtl/>
        </w:rPr>
      </w:pPr>
      <w:r>
        <w:rPr>
          <w:rFonts w:hint="cs"/>
          <w:rtl/>
        </w:rPr>
        <w:t>بحث کنونی</w:t>
      </w:r>
      <w:r w:rsidR="00344A27">
        <w:rPr>
          <w:rFonts w:hint="cs"/>
          <w:rtl/>
        </w:rPr>
        <w:t>،</w:t>
      </w:r>
      <w:r>
        <w:rPr>
          <w:rFonts w:hint="cs"/>
          <w:rtl/>
        </w:rPr>
        <w:t xml:space="preserve"> پیرامون امری است که عقیب حظر</w:t>
      </w:r>
      <w:r w:rsidR="00AB08DB">
        <w:rPr>
          <w:rFonts w:hint="cs"/>
          <w:rtl/>
        </w:rPr>
        <w:t xml:space="preserve"> </w:t>
      </w:r>
      <w:r>
        <w:rPr>
          <w:rFonts w:hint="cs"/>
          <w:rtl/>
        </w:rPr>
        <w:t xml:space="preserve">واقع </w:t>
      </w:r>
      <w:r w:rsidR="00AB08DB">
        <w:rPr>
          <w:rFonts w:hint="cs"/>
          <w:rtl/>
        </w:rPr>
        <w:t>می‌</w:t>
      </w:r>
      <w:r>
        <w:rPr>
          <w:rFonts w:hint="cs"/>
          <w:rtl/>
        </w:rPr>
        <w:t xml:space="preserve">شود. این مسأله از </w:t>
      </w:r>
      <w:r w:rsidR="00AB08DB">
        <w:rPr>
          <w:rFonts w:hint="cs"/>
          <w:rtl/>
        </w:rPr>
        <w:t>دیرباز</w:t>
      </w:r>
      <w:r>
        <w:rPr>
          <w:rFonts w:hint="cs"/>
          <w:rtl/>
        </w:rPr>
        <w:t xml:space="preserve"> در </w:t>
      </w:r>
      <w:r w:rsidR="00AB08DB">
        <w:rPr>
          <w:rFonts w:hint="cs"/>
          <w:rtl/>
        </w:rPr>
        <w:t>کتاب‌های</w:t>
      </w:r>
      <w:r>
        <w:rPr>
          <w:rFonts w:hint="cs"/>
          <w:rtl/>
        </w:rPr>
        <w:t xml:space="preserve"> اصولی مطرح بوده</w:t>
      </w:r>
      <w:r w:rsidR="00AB08DB">
        <w:rPr>
          <w:rFonts w:hint="cs"/>
          <w:rtl/>
        </w:rPr>
        <w:t xml:space="preserve"> است.</w:t>
      </w:r>
      <w:r w:rsidR="00245DA5">
        <w:rPr>
          <w:rFonts w:hint="cs"/>
          <w:rtl/>
        </w:rPr>
        <w:t xml:space="preserve"> اینک</w:t>
      </w:r>
      <w:r w:rsidR="00AB08DB">
        <w:rPr>
          <w:rFonts w:hint="cs"/>
          <w:rtl/>
        </w:rPr>
        <w:t xml:space="preserve"> در مقام طرح بحث، عبارتی از مرحوم میرزای شیرازی را قرائت می‌کنیم.</w:t>
      </w:r>
    </w:p>
    <w:p w14:paraId="6B1D58A8" w14:textId="1F4B3270" w:rsidR="00344A27" w:rsidRDefault="00344A27" w:rsidP="000768D9">
      <w:pPr>
        <w:pStyle w:val="Heading2"/>
        <w:jc w:val="both"/>
        <w:rPr>
          <w:rtl/>
        </w:rPr>
      </w:pPr>
      <w:bookmarkStart w:id="5" w:name="_Toc184622572"/>
      <w:r>
        <w:rPr>
          <w:rFonts w:hint="cs"/>
          <w:rtl/>
        </w:rPr>
        <w:t xml:space="preserve">مرور </w:t>
      </w:r>
      <w:r w:rsidR="00977D2F">
        <w:rPr>
          <w:rFonts w:hint="cs"/>
          <w:rtl/>
        </w:rPr>
        <w:t>کلام</w:t>
      </w:r>
      <w:r>
        <w:rPr>
          <w:rFonts w:hint="cs"/>
          <w:rtl/>
        </w:rPr>
        <w:t xml:space="preserve"> میرزای شیرازی در تحریر محلّ </w:t>
      </w:r>
      <w:r w:rsidR="00281BC9">
        <w:rPr>
          <w:rFonts w:hint="cs"/>
          <w:rtl/>
        </w:rPr>
        <w:t>بحث</w:t>
      </w:r>
      <w:r>
        <w:rPr>
          <w:rFonts w:hint="cs"/>
          <w:rtl/>
        </w:rPr>
        <w:t xml:space="preserve"> و اقوال مطرح در آن</w:t>
      </w:r>
      <w:bookmarkEnd w:id="5"/>
    </w:p>
    <w:p w14:paraId="5559B2F9" w14:textId="407551B5" w:rsidR="00AB08DB" w:rsidRDefault="00AB08DB" w:rsidP="000768D9">
      <w:pPr>
        <w:jc w:val="both"/>
        <w:rPr>
          <w:rtl/>
        </w:rPr>
      </w:pPr>
      <w:r>
        <w:rPr>
          <w:rFonts w:hint="cs"/>
          <w:rtl/>
        </w:rPr>
        <w:t xml:space="preserve">در تقریرات مرحوم میرزای شیرازی جلد 2 صفحۀ 42 چنین آمده است: </w:t>
      </w:r>
      <w:r w:rsidRPr="00AB08DB">
        <w:rPr>
          <w:color w:val="000080"/>
          <w:rtl/>
        </w:rPr>
        <w:t>اختلف القائلون بدلالة الأمر على الوجوب في أنّ وقوعه عقيب الحظر هل يصلح لأن يكون قرينة صارفة له عن الوجوب إلى غيره، أو لا، بل وروده عقيبه كوقوعه في سائر الموارد في ظهوره في الوجوب أيضا؟</w:t>
      </w:r>
      <w:r>
        <w:rPr>
          <w:rtl/>
        </w:rPr>
        <w:t xml:space="preserve"> </w:t>
      </w:r>
      <w:r>
        <w:rPr>
          <w:rFonts w:hint="cs"/>
          <w:rtl/>
        </w:rPr>
        <w:t xml:space="preserve">(آنان که امر را دالّ بر وجوب دانسته‌اند، اختلاف نموده‌اند که آیا وقوعش عقیب حظر، صلاحیّت دارد قرینۀ صارفه قلمداد شود و ظهور امر در وجوب را از بین ببرد، یا چنین صلاحیتی ندارد؟ سپس قائلان به </w:t>
      </w:r>
      <w:r w:rsidR="000768D9">
        <w:rPr>
          <w:rFonts w:hint="cs"/>
          <w:rtl/>
        </w:rPr>
        <w:t xml:space="preserve">پابرجا ماندن ظهور در وجوب </w:t>
      </w:r>
      <w:r>
        <w:rPr>
          <w:rFonts w:hint="cs"/>
          <w:rtl/>
        </w:rPr>
        <w:t>را بر می‌شمرد:)،</w:t>
      </w:r>
      <w:r w:rsidRPr="00AB08DB">
        <w:rPr>
          <w:rFonts w:hint="cs"/>
          <w:color w:val="000080"/>
          <w:rtl/>
        </w:rPr>
        <w:t xml:space="preserve"> </w:t>
      </w:r>
      <w:r w:rsidRPr="00AB08DB">
        <w:rPr>
          <w:color w:val="000080"/>
          <w:rtl/>
        </w:rPr>
        <w:t>و عن جماعة- منهم الشيخ و المحقق و العلامة و الشهيد الثاني و جماعة من العامة</w:t>
      </w:r>
      <w:r w:rsidRPr="00AB08DB">
        <w:rPr>
          <w:rFonts w:hint="cs"/>
          <w:color w:val="000080"/>
          <w:rtl/>
        </w:rPr>
        <w:t xml:space="preserve"> </w:t>
      </w:r>
      <w:r w:rsidRPr="00AB08DB">
        <w:rPr>
          <w:color w:val="000080"/>
          <w:rtl/>
        </w:rPr>
        <w:t>منهم الرازي و البيضاوي الثاني، و عن الإحكام</w:t>
      </w:r>
      <w:r w:rsidRPr="00AB08DB">
        <w:rPr>
          <w:rFonts w:hint="cs"/>
          <w:color w:val="000080"/>
          <w:rtl/>
        </w:rPr>
        <w:t xml:space="preserve"> </w:t>
      </w:r>
      <w:r w:rsidRPr="00F252DA">
        <w:rPr>
          <w:rFonts w:hint="cs"/>
          <w:color w:val="000000"/>
          <w:rtl/>
        </w:rPr>
        <w:t>(الإحکام فی اصول الأحکام، کتاب</w:t>
      </w:r>
      <w:r w:rsidR="00F252DA" w:rsidRPr="00F252DA">
        <w:rPr>
          <w:rFonts w:hint="cs"/>
          <w:color w:val="000000"/>
          <w:rtl/>
        </w:rPr>
        <w:t>ی</w:t>
      </w:r>
      <w:r w:rsidRPr="00F252DA">
        <w:rPr>
          <w:rFonts w:hint="cs"/>
          <w:color w:val="000000"/>
          <w:rtl/>
        </w:rPr>
        <w:t xml:space="preserve"> اصولی است که </w:t>
      </w:r>
      <w:r w:rsidR="00F252DA" w:rsidRPr="00F252DA">
        <w:rPr>
          <w:rFonts w:hint="cs"/>
          <w:color w:val="000000"/>
          <w:rtl/>
        </w:rPr>
        <w:t xml:space="preserve">توسط </w:t>
      </w:r>
      <w:r w:rsidR="00F252DA">
        <w:rPr>
          <w:rFonts w:hint="cs"/>
          <w:color w:val="000000"/>
          <w:rtl/>
        </w:rPr>
        <w:t>آمدی</w:t>
      </w:r>
      <w:r w:rsidR="00245DA5">
        <w:rPr>
          <w:rFonts w:hint="cs"/>
          <w:color w:val="000000"/>
          <w:rtl/>
        </w:rPr>
        <w:t xml:space="preserve"> </w:t>
      </w:r>
      <w:r w:rsidR="00F252DA" w:rsidRPr="00F252DA">
        <w:rPr>
          <w:rFonts w:hint="cs"/>
          <w:color w:val="000000"/>
          <w:rtl/>
        </w:rPr>
        <w:t xml:space="preserve">نگاشته شده) </w:t>
      </w:r>
      <w:r w:rsidRPr="00F252DA">
        <w:rPr>
          <w:color w:val="000000"/>
          <w:rtl/>
        </w:rPr>
        <w:t xml:space="preserve">نسبته </w:t>
      </w:r>
      <w:r w:rsidRPr="00AB08DB">
        <w:rPr>
          <w:color w:val="000080"/>
          <w:rtl/>
        </w:rPr>
        <w:t>إلى المعتزلة.</w:t>
      </w:r>
    </w:p>
    <w:p w14:paraId="7484035B" w14:textId="4D75ADCF" w:rsidR="00F252DA" w:rsidRDefault="00F252DA" w:rsidP="000768D9">
      <w:pPr>
        <w:jc w:val="both"/>
        <w:rPr>
          <w:rtl/>
        </w:rPr>
      </w:pPr>
      <w:r>
        <w:rPr>
          <w:rFonts w:hint="cs"/>
          <w:rtl/>
        </w:rPr>
        <w:t>عبارت مرحوم میرزای شیرازی، نشانگر آن است که مرحوم آقای صدر در طرح این بحث، ره به خطا برده‌اند. مرحوم آقای صدر</w:t>
      </w:r>
      <w:r w:rsidR="0092546B">
        <w:rPr>
          <w:rFonts w:hint="cs"/>
          <w:rtl/>
        </w:rPr>
        <w:t xml:space="preserve"> </w:t>
      </w:r>
      <w:r>
        <w:rPr>
          <w:rFonts w:hint="cs"/>
          <w:rtl/>
        </w:rPr>
        <w:t>فرموده‌</w:t>
      </w:r>
      <w:r w:rsidR="0092546B">
        <w:rPr>
          <w:rFonts w:hint="cs"/>
          <w:rtl/>
        </w:rPr>
        <w:t xml:space="preserve"> است</w:t>
      </w:r>
      <w:r>
        <w:rPr>
          <w:rFonts w:hint="cs"/>
          <w:rtl/>
        </w:rPr>
        <w:t xml:space="preserve"> </w:t>
      </w:r>
      <w:r w:rsidR="000768D9">
        <w:rPr>
          <w:rFonts w:hint="cs"/>
          <w:rtl/>
        </w:rPr>
        <w:t xml:space="preserve">تمام </w:t>
      </w:r>
      <w:r>
        <w:rPr>
          <w:rFonts w:hint="cs"/>
          <w:rtl/>
        </w:rPr>
        <w:t>اندیشمندان در زوال ظهور امر در وجوب هم‌داستان‌اند</w:t>
      </w:r>
      <w:r w:rsidR="0092546B">
        <w:rPr>
          <w:rFonts w:hint="cs"/>
          <w:rtl/>
        </w:rPr>
        <w:t>. به فرمودۀ ایشان</w:t>
      </w:r>
      <w:r>
        <w:rPr>
          <w:rFonts w:hint="cs"/>
          <w:rtl/>
        </w:rPr>
        <w:t xml:space="preserve"> آنچه میان ایشان مورد اختلاف واقع شده، جز آن نیست که پس از زوال ظهورش در وجوب، آیا ظهور دیگری پیدا می‌کند یا به وادی اجمال کشانیده می‌شود؟ ولی چنانکه مرحوم میرزای شیرازی گوشزد نمودند، اصل زوال ظهور آن</w:t>
      </w:r>
      <w:r w:rsidR="000768D9">
        <w:rPr>
          <w:rFonts w:hint="cs"/>
          <w:rtl/>
        </w:rPr>
        <w:t xml:space="preserve"> نیز</w:t>
      </w:r>
      <w:r>
        <w:rPr>
          <w:rFonts w:hint="cs"/>
          <w:rtl/>
        </w:rPr>
        <w:t xml:space="preserve"> در وجوب از دیرباز مورد اختلاف بوده است پس نمی‌توان گفت اندیشمندان در زوال ظهور امر در وجوب، اتفاق نظر دارند؛ بلکه شمار زیادی از ایشان، ظهورش در وجوب را پابرجا دانسته‌اند.</w:t>
      </w:r>
    </w:p>
    <w:p w14:paraId="6D33E2FB" w14:textId="0B1C591C" w:rsidR="00AB08DB" w:rsidRPr="00F252DA" w:rsidRDefault="00F252DA" w:rsidP="000768D9">
      <w:pPr>
        <w:jc w:val="both"/>
        <w:rPr>
          <w:color w:val="000080"/>
          <w:rtl/>
        </w:rPr>
      </w:pPr>
      <w:r>
        <w:rPr>
          <w:rFonts w:hint="cs"/>
          <w:rtl/>
        </w:rPr>
        <w:t xml:space="preserve">مرحوم میرزای شیرازی، قائلان به دیدگاه یکم را به 5 گروه، دسته‌بندی نموده‌اند: </w:t>
      </w:r>
      <w:r w:rsidR="00AB08DB" w:rsidRPr="00F252DA">
        <w:rPr>
          <w:color w:val="000080"/>
          <w:rtl/>
        </w:rPr>
        <w:t>ثمّ القائلون بالأوّل اختلفوا على أقوال:</w:t>
      </w:r>
    </w:p>
    <w:p w14:paraId="7A979FEE" w14:textId="400411D2" w:rsidR="00AB08DB" w:rsidRDefault="00AB08DB" w:rsidP="000768D9">
      <w:pPr>
        <w:jc w:val="both"/>
        <w:rPr>
          <w:rtl/>
        </w:rPr>
      </w:pPr>
      <w:r w:rsidRPr="00F252DA">
        <w:rPr>
          <w:color w:val="000080"/>
          <w:rtl/>
        </w:rPr>
        <w:t>أحدها: انه حينئذ يفيد الإباحة</w:t>
      </w:r>
      <w:r w:rsidR="00F252DA">
        <w:rPr>
          <w:rFonts w:hint="cs"/>
          <w:color w:val="000080"/>
          <w:rtl/>
        </w:rPr>
        <w:t xml:space="preserve"> </w:t>
      </w:r>
      <w:r w:rsidR="00F252DA" w:rsidRPr="00F252DA">
        <w:rPr>
          <w:rFonts w:hint="cs"/>
          <w:color w:val="000000"/>
          <w:rtl/>
        </w:rPr>
        <w:t>(یعنی اباحۀ به معنای عام؛ لذا در ادامه می‌فرماید:)</w:t>
      </w:r>
      <w:r w:rsidRPr="00F252DA">
        <w:rPr>
          <w:color w:val="000000"/>
          <w:rtl/>
        </w:rPr>
        <w:t xml:space="preserve"> </w:t>
      </w:r>
      <w:r w:rsidR="00F252DA" w:rsidRPr="00F252DA">
        <w:rPr>
          <w:color w:val="000080"/>
          <w:rtl/>
        </w:rPr>
        <w:t>و هذا هو المحكي عن الأكثر، و عن ظاهر الإحكام أن</w:t>
      </w:r>
      <w:r w:rsidR="00F252DA" w:rsidRPr="00F252DA">
        <w:rPr>
          <w:color w:val="000000"/>
          <w:rtl/>
        </w:rPr>
        <w:t>‏</w:t>
      </w:r>
      <w:r w:rsidR="00F252DA">
        <w:rPr>
          <w:rFonts w:hint="cs"/>
          <w:color w:val="000000"/>
          <w:rtl/>
        </w:rPr>
        <w:t xml:space="preserve"> </w:t>
      </w:r>
      <w:r w:rsidRPr="00F252DA">
        <w:rPr>
          <w:color w:val="000080"/>
          <w:rtl/>
        </w:rPr>
        <w:t>المراد بالإباحة في المقام هو رفع الحجر، دون الإباحة الخاصة</w:t>
      </w:r>
      <w:r>
        <w:rPr>
          <w:rtl/>
        </w:rPr>
        <w:t>.</w:t>
      </w:r>
    </w:p>
    <w:p w14:paraId="17476120" w14:textId="63D966C1" w:rsidR="00AB08DB" w:rsidRPr="001B07B7" w:rsidRDefault="00AB08DB" w:rsidP="000768D9">
      <w:pPr>
        <w:jc w:val="both"/>
        <w:rPr>
          <w:color w:val="000080"/>
          <w:rtl/>
        </w:rPr>
      </w:pPr>
      <w:r w:rsidRPr="001B07B7">
        <w:rPr>
          <w:color w:val="000080"/>
          <w:rtl/>
        </w:rPr>
        <w:lastRenderedPageBreak/>
        <w:t xml:space="preserve">و ثانيها: التفصيل بين ما إذا علّق الأمر بارتفاع علّة عروض النهي و ما لم يعلّق عليه، فيفيد الإباحة في الأوّل دون الثاني </w:t>
      </w:r>
      <w:r w:rsidR="001B07B7">
        <w:rPr>
          <w:rFonts w:hint="cs"/>
          <w:color w:val="000080"/>
          <w:rtl/>
        </w:rPr>
        <w:t>... .</w:t>
      </w:r>
      <w:r w:rsidR="001B07B7" w:rsidRPr="001B07B7">
        <w:rPr>
          <w:rFonts w:hint="cs"/>
          <w:color w:val="000000"/>
          <w:rtl/>
        </w:rPr>
        <w:t xml:space="preserve"> دیدگاه دوم آن است که اگر امر، به ارتفاع علّت عروض نهی معلّق شود، دالّ بر اباحة است ولی اگر معلّق به ارتفاع علّت عروض نهی نباشد، دالّ بر وجوب است.</w:t>
      </w:r>
    </w:p>
    <w:p w14:paraId="32D8214D" w14:textId="2FF00F00" w:rsidR="001B07B7" w:rsidRDefault="001B07B7" w:rsidP="000768D9">
      <w:pPr>
        <w:jc w:val="both"/>
        <w:rPr>
          <w:rtl/>
        </w:rPr>
      </w:pPr>
      <w:r>
        <w:rPr>
          <w:rFonts w:hint="cs"/>
          <w:rtl/>
        </w:rPr>
        <w:t>دیدگاه سوم نیز به تفصیلی دیگر اشاره دارد. دیدگاه چهارم آن است که مطلقاً قرینۀ صارفه است و ظهور در ندب پیدا می‌کند. دیدگاه پنجم نیز اجمال است.</w:t>
      </w:r>
    </w:p>
    <w:p w14:paraId="45CCB00F" w14:textId="1BCF16DD" w:rsidR="00B92756" w:rsidRDefault="001B07B7" w:rsidP="000768D9">
      <w:pPr>
        <w:jc w:val="both"/>
        <w:rPr>
          <w:rtl/>
        </w:rPr>
      </w:pPr>
      <w:r>
        <w:rPr>
          <w:rFonts w:hint="cs"/>
          <w:rtl/>
          <w:lang w:bidi="ar-SA"/>
        </w:rPr>
        <w:t xml:space="preserve">مرحوم میرزای شیرازی، هم در مقام تحریر محلّ نزاع، و توضیح </w:t>
      </w:r>
      <w:r w:rsidR="0092546B">
        <w:rPr>
          <w:rFonts w:hint="cs"/>
          <w:rtl/>
          <w:lang w:bidi="ar-SA"/>
        </w:rPr>
        <w:t>نكات أن</w:t>
      </w:r>
      <w:r>
        <w:rPr>
          <w:rFonts w:hint="cs"/>
          <w:rtl/>
          <w:lang w:bidi="ar-SA"/>
        </w:rPr>
        <w:t>، و هم در تحلیل خود مطلب، بحث درازدامانی را سامان داده‌اند. این بحث در موارد متعدّدی از منابع اصولی متأخر به شکل درخور توجّه مطرح شده است. آدرس برخی از این منابع از این قرار است: تقریرات مرحوم میرزای شیرازی</w:t>
      </w:r>
      <w:r w:rsidR="00B92756">
        <w:rPr>
          <w:rFonts w:hint="cs"/>
          <w:rtl/>
          <w:lang w:bidi="ar-SA"/>
        </w:rPr>
        <w:t xml:space="preserve"> </w:t>
      </w:r>
      <w:r>
        <w:rPr>
          <w:rFonts w:hint="cs"/>
          <w:rtl/>
          <w:lang w:bidi="ar-SA"/>
        </w:rPr>
        <w:t xml:space="preserve">جلد </w:t>
      </w:r>
      <w:r w:rsidR="00B92756">
        <w:rPr>
          <w:rFonts w:hint="cs"/>
          <w:rtl/>
          <w:lang w:bidi="ar-SA"/>
        </w:rPr>
        <w:t xml:space="preserve">2 </w:t>
      </w:r>
      <w:r>
        <w:rPr>
          <w:rFonts w:hint="cs"/>
          <w:rtl/>
          <w:lang w:bidi="ar-SA"/>
        </w:rPr>
        <w:t xml:space="preserve">صفحۀ </w:t>
      </w:r>
      <w:r w:rsidR="00B92756">
        <w:rPr>
          <w:rFonts w:hint="cs"/>
          <w:rtl/>
          <w:lang w:bidi="ar-SA"/>
        </w:rPr>
        <w:t>42</w:t>
      </w:r>
      <w:r>
        <w:rPr>
          <w:rFonts w:hint="cs"/>
          <w:rtl/>
          <w:lang w:bidi="ar-SA"/>
        </w:rPr>
        <w:t>؛</w:t>
      </w:r>
      <w:r w:rsidR="00B92756">
        <w:rPr>
          <w:rFonts w:hint="cs"/>
          <w:rtl/>
          <w:lang w:bidi="ar-SA"/>
        </w:rPr>
        <w:t xml:space="preserve"> وسیل</w:t>
      </w:r>
      <w:r>
        <w:rPr>
          <w:rFonts w:hint="cs"/>
          <w:rtl/>
          <w:lang w:bidi="ar-SA"/>
        </w:rPr>
        <w:t>ة</w:t>
      </w:r>
      <w:r w:rsidR="00B92756">
        <w:rPr>
          <w:rFonts w:hint="cs"/>
          <w:rtl/>
          <w:lang w:bidi="ar-SA"/>
        </w:rPr>
        <w:t xml:space="preserve"> الوصول</w:t>
      </w:r>
      <w:r>
        <w:rPr>
          <w:rFonts w:hint="cs"/>
          <w:rtl/>
          <w:lang w:bidi="ar-SA"/>
        </w:rPr>
        <w:t xml:space="preserve">، </w:t>
      </w:r>
      <w:r w:rsidR="00B92756">
        <w:rPr>
          <w:rFonts w:hint="cs"/>
          <w:rtl/>
          <w:lang w:bidi="ar-SA"/>
        </w:rPr>
        <w:t xml:space="preserve">تقریرات </w:t>
      </w:r>
      <w:r>
        <w:rPr>
          <w:rFonts w:hint="cs"/>
          <w:rtl/>
          <w:lang w:bidi="ar-SA"/>
        </w:rPr>
        <w:t xml:space="preserve">مرحوم </w:t>
      </w:r>
      <w:r w:rsidR="00B92756">
        <w:rPr>
          <w:rFonts w:hint="cs"/>
          <w:rtl/>
          <w:lang w:bidi="ar-SA"/>
        </w:rPr>
        <w:t>سید ابو الحسن</w:t>
      </w:r>
      <w:r>
        <w:rPr>
          <w:rFonts w:hint="cs"/>
          <w:rtl/>
          <w:lang w:bidi="ar-SA"/>
        </w:rPr>
        <w:t xml:space="preserve"> اصفهانی جلد</w:t>
      </w:r>
      <w:r w:rsidR="00B92756">
        <w:rPr>
          <w:rFonts w:hint="cs"/>
          <w:rtl/>
          <w:lang w:bidi="ar-SA"/>
        </w:rPr>
        <w:t xml:space="preserve"> 1</w:t>
      </w:r>
      <w:r>
        <w:rPr>
          <w:rFonts w:hint="cs"/>
          <w:rtl/>
          <w:lang w:bidi="ar-SA"/>
        </w:rPr>
        <w:t xml:space="preserve"> صفحۀ</w:t>
      </w:r>
      <w:r w:rsidR="00B92756">
        <w:rPr>
          <w:rFonts w:hint="cs"/>
          <w:rtl/>
          <w:lang w:bidi="ar-SA"/>
        </w:rPr>
        <w:t xml:space="preserve"> 218</w:t>
      </w:r>
      <w:r>
        <w:rPr>
          <w:rFonts w:hint="cs"/>
          <w:rtl/>
          <w:lang w:bidi="ar-SA"/>
        </w:rPr>
        <w:t>؛</w:t>
      </w:r>
      <w:r w:rsidR="00B92756">
        <w:rPr>
          <w:rFonts w:hint="cs"/>
          <w:rtl/>
          <w:lang w:bidi="ar-SA"/>
        </w:rPr>
        <w:t xml:space="preserve"> </w:t>
      </w:r>
      <w:r w:rsidR="0092546B">
        <w:rPr>
          <w:rFonts w:hint="cs"/>
          <w:rtl/>
          <w:lang w:bidi="ar-SA"/>
        </w:rPr>
        <w:t xml:space="preserve">در حاشیۀ وسیلة الوصول به </w:t>
      </w:r>
      <w:r w:rsidR="00685E5A">
        <w:rPr>
          <w:rFonts w:hint="cs"/>
          <w:rtl/>
        </w:rPr>
        <w:t>بدائع</w:t>
      </w:r>
      <w:r w:rsidR="00685E5A">
        <w:rPr>
          <w:rFonts w:hint="cs"/>
          <w:rtl/>
          <w:lang w:bidi="ar-SA"/>
        </w:rPr>
        <w:t xml:space="preserve"> الافكار </w:t>
      </w:r>
      <w:r w:rsidR="00685E5A">
        <w:rPr>
          <w:rFonts w:hint="cs"/>
          <w:rtl/>
        </w:rPr>
        <w:t>میرزای رشتی صفحۀ 294 نیز ارجاع داده است؛ اصول الفقه آقای اراکی جلد 1 صفحۀ 108؛ بحوث فی علم الاصول آقای صدر جلد 2 صفحۀ 117؛ مباحث الاصول آقای صدر جلد 2 القسم الأول صفحۀ 233.</w:t>
      </w:r>
    </w:p>
    <w:p w14:paraId="40ECFF93" w14:textId="63F6EE52" w:rsidR="00961F3E" w:rsidRDefault="00961F3E" w:rsidP="000768D9">
      <w:pPr>
        <w:pStyle w:val="Heading2"/>
        <w:jc w:val="both"/>
        <w:rPr>
          <w:rtl/>
        </w:rPr>
      </w:pPr>
      <w:bookmarkStart w:id="6" w:name="_Toc184622573"/>
      <w:r>
        <w:rPr>
          <w:rFonts w:hint="cs"/>
          <w:rtl/>
        </w:rPr>
        <w:t>تفاوت امر عقیب حظر و امر در مقام توهّم حظر</w:t>
      </w:r>
      <w:bookmarkEnd w:id="6"/>
    </w:p>
    <w:p w14:paraId="70A81BEA" w14:textId="314F0E86" w:rsidR="00344A27" w:rsidRDefault="001B07B7" w:rsidP="000768D9">
      <w:pPr>
        <w:jc w:val="both"/>
        <w:rPr>
          <w:rtl/>
        </w:rPr>
      </w:pPr>
      <w:r>
        <w:rPr>
          <w:rFonts w:hint="cs"/>
          <w:rtl/>
          <w:lang w:bidi="ar-SA"/>
        </w:rPr>
        <w:t>گفتنی است، در کتاب‌های فقهی ما، بیش از آن‌که از وقوع امر عقیب حظر سخن بگویند، پیرامون وقوع امر در مقام توهّم حظر سخن گفته‌اند</w:t>
      </w:r>
      <w:r w:rsidR="00344A27">
        <w:rPr>
          <w:rFonts w:hint="cs"/>
          <w:rtl/>
          <w:lang w:bidi="ar-SA"/>
        </w:rPr>
        <w:t xml:space="preserve">. </w:t>
      </w:r>
      <w:r w:rsidR="00961F3E">
        <w:rPr>
          <w:rFonts w:hint="cs"/>
          <w:rtl/>
        </w:rPr>
        <w:t xml:space="preserve">برای مثال </w:t>
      </w:r>
      <w:r w:rsidR="00685E5A">
        <w:rPr>
          <w:rFonts w:hint="cs"/>
          <w:rtl/>
        </w:rPr>
        <w:t xml:space="preserve">در شمار زیادی از مباحث فقهی گفته شده ازآن‌رو که این امر، در مقام توهّم حظر است، </w:t>
      </w:r>
      <w:r w:rsidR="00961F3E">
        <w:rPr>
          <w:rFonts w:hint="cs"/>
          <w:rtl/>
        </w:rPr>
        <w:t>بر بیش از ترخیص دلالت نمی‌کند.</w:t>
      </w:r>
    </w:p>
    <w:p w14:paraId="56695ED5" w14:textId="043AEC17" w:rsidR="00961F3E" w:rsidRPr="00585D4A" w:rsidRDefault="00961F3E" w:rsidP="000768D9">
      <w:pPr>
        <w:jc w:val="both"/>
        <w:rPr>
          <w:rtl/>
        </w:rPr>
      </w:pPr>
      <w:r w:rsidRPr="00961F3E">
        <w:rPr>
          <w:rFonts w:hint="cs"/>
          <w:b/>
          <w:bCs/>
          <w:rtl/>
        </w:rPr>
        <w:t>شاگرد</w:t>
      </w:r>
      <w:r>
        <w:rPr>
          <w:rFonts w:hint="cs"/>
          <w:rtl/>
        </w:rPr>
        <w:t>: تفاوت این دو بحث چیست؟</w:t>
      </w:r>
    </w:p>
    <w:p w14:paraId="356F5F1D" w14:textId="00A2BD99" w:rsidR="00F42D30" w:rsidRPr="00F42D30" w:rsidRDefault="00961F3E" w:rsidP="000768D9">
      <w:pPr>
        <w:jc w:val="both"/>
      </w:pPr>
      <w:r w:rsidRPr="00961F3E">
        <w:rPr>
          <w:rFonts w:hint="cs"/>
          <w:b/>
          <w:bCs/>
          <w:rtl/>
          <w:lang w:bidi="ar-SA"/>
        </w:rPr>
        <w:t>استاد</w:t>
      </w:r>
      <w:r>
        <w:rPr>
          <w:rFonts w:hint="cs"/>
          <w:rtl/>
          <w:lang w:bidi="ar-SA"/>
        </w:rPr>
        <w:t xml:space="preserve">: </w:t>
      </w:r>
      <w:r>
        <w:rPr>
          <w:rFonts w:hint="cs"/>
          <w:rtl/>
        </w:rPr>
        <w:t>امر عقیب حظر</w:t>
      </w:r>
      <w:r w:rsidR="00F42D30">
        <w:rPr>
          <w:rFonts w:hint="cs"/>
          <w:rtl/>
        </w:rPr>
        <w:t xml:space="preserve">، </w:t>
      </w:r>
      <w:r>
        <w:rPr>
          <w:rFonts w:hint="cs"/>
          <w:rtl/>
        </w:rPr>
        <w:t>امری است که پس از نهی واقع شده است</w:t>
      </w:r>
      <w:r w:rsidR="00F42D30">
        <w:rPr>
          <w:rFonts w:hint="cs"/>
          <w:rtl/>
        </w:rPr>
        <w:t>؛ بدین ترتیب نهی سابق از بین رفته و جای خود را به امر داده است</w:t>
      </w:r>
      <w:r>
        <w:rPr>
          <w:rFonts w:hint="cs"/>
          <w:rtl/>
        </w:rPr>
        <w:t xml:space="preserve">. برای مثال در آیۀ شریفۀ </w:t>
      </w:r>
      <w:r>
        <w:rPr>
          <w:color w:val="007200"/>
          <w:rtl/>
        </w:rPr>
        <w:t>﴿وَ إِذا حَلَلْتُمْ فَاصْطادُوا﴾</w:t>
      </w:r>
      <w:r>
        <w:rPr>
          <w:rStyle w:val="FootnoteReference"/>
          <w:color w:val="007200"/>
          <w:rtl/>
        </w:rPr>
        <w:footnoteReference w:id="1"/>
      </w:r>
      <w:r>
        <w:rPr>
          <w:color w:val="007200"/>
          <w:rtl/>
        </w:rPr>
        <w:t xml:space="preserve"> </w:t>
      </w:r>
      <w:r>
        <w:rPr>
          <w:rFonts w:hint="cs"/>
          <w:rtl/>
        </w:rPr>
        <w:t xml:space="preserve">به صید کردن امر شده است؛ ولی ازآن‌رو که امر به اصطیاد پس از </w:t>
      </w:r>
      <w:r w:rsidR="00F42D30">
        <w:rPr>
          <w:color w:val="007200"/>
          <w:rtl/>
        </w:rPr>
        <w:t>﴿لا تَقْتُلُوا الصَّيْدَ وَ أَنْتُمْ حُرُم﴾</w:t>
      </w:r>
      <w:r w:rsidR="00F42D30">
        <w:rPr>
          <w:rStyle w:val="FootnoteReference"/>
          <w:color w:val="007200"/>
          <w:rtl/>
        </w:rPr>
        <w:footnoteReference w:id="2"/>
      </w:r>
      <w:r w:rsidR="00F42D30" w:rsidRPr="00F42D30">
        <w:rPr>
          <w:rFonts w:hint="cs"/>
          <w:rtl/>
        </w:rPr>
        <w:t>‏</w:t>
      </w:r>
    </w:p>
    <w:p w14:paraId="7B7D6EA6" w14:textId="160ACF2B" w:rsidR="00160912" w:rsidRDefault="00961F3E" w:rsidP="000768D9">
      <w:pPr>
        <w:jc w:val="both"/>
        <w:rPr>
          <w:rtl/>
        </w:rPr>
      </w:pPr>
      <w:r>
        <w:rPr>
          <w:rFonts w:hint="cs"/>
          <w:rtl/>
        </w:rPr>
        <w:t>واقع شده، این بحث مطرح می‌شود که مفاد این امر چیست.</w:t>
      </w:r>
      <w:r w:rsidR="00F42D30">
        <w:rPr>
          <w:rFonts w:hint="cs"/>
          <w:rtl/>
        </w:rPr>
        <w:t xml:space="preserve"> ولی امر در مقام توهّم حظر، امری است که زمینۀ نهی در موردش وجود دارد</w:t>
      </w:r>
      <w:r w:rsidR="00160912">
        <w:rPr>
          <w:rFonts w:hint="cs"/>
          <w:rtl/>
        </w:rPr>
        <w:t xml:space="preserve"> نه آن‌که بالفعل نهیی صورت گرفته باشد. عمدتاً آن بحثی که در کتاب‌های فقهی به چشم می‌خورد، بحث دوم است نه بحث اول.</w:t>
      </w:r>
    </w:p>
    <w:p w14:paraId="4AA65BF0" w14:textId="5D13287C" w:rsidR="00B30758" w:rsidRDefault="00160912" w:rsidP="000768D9">
      <w:pPr>
        <w:jc w:val="both"/>
        <w:rPr>
          <w:rtl/>
        </w:rPr>
      </w:pPr>
      <w:r>
        <w:rPr>
          <w:rFonts w:hint="cs"/>
          <w:rtl/>
        </w:rPr>
        <w:t xml:space="preserve">باید دانست، این دو بحث از جهت کبروی دارای نقاط اشتراک هستند؛ نقاطی همچون این‌که </w:t>
      </w:r>
      <w:r w:rsidR="006606B0">
        <w:rPr>
          <w:rFonts w:hint="cs"/>
          <w:rtl/>
        </w:rPr>
        <w:t xml:space="preserve">آیا ظهور امر در شرائط مزبور از بین می‌رود یا نمی‌رود؟ این‌که از بین رفتن این ظهور به چه شکل </w:t>
      </w:r>
      <w:r w:rsidR="000768D9">
        <w:rPr>
          <w:rFonts w:hint="cs"/>
          <w:rtl/>
        </w:rPr>
        <w:t>تحلیل می‌شود</w:t>
      </w:r>
      <w:r w:rsidR="006606B0">
        <w:rPr>
          <w:rFonts w:hint="cs"/>
          <w:rtl/>
        </w:rPr>
        <w:t xml:space="preserve">؟ ولی فارغ از این نقاط مشترک کبروی، یک سری بحث‌های صغروی نیز در این دو بحث مطرح است؛ همچون این‌که در کجا توهّم حظر مطرح است؟ چه چیزهایی توهم حظر را ایجاد می‌کند. بدین مناسبت  قصد داریم چند عبارت از عبارات محقق خوئی را مرور کنیم تا </w:t>
      </w:r>
      <w:r w:rsidR="000768D9">
        <w:rPr>
          <w:rFonts w:hint="cs"/>
          <w:rtl/>
        </w:rPr>
        <w:t>بحث</w:t>
      </w:r>
      <w:r w:rsidR="006606B0">
        <w:rPr>
          <w:rFonts w:hint="cs"/>
          <w:rtl/>
        </w:rPr>
        <w:t xml:space="preserve"> قدری روشن‌ شود. ایشان در برخی بحث‌ها، فرموده‌اند این بحث، مصداق بحث امر در مقام توهّم حظر نیست.</w:t>
      </w:r>
    </w:p>
    <w:p w14:paraId="236DA0E0" w14:textId="6D532710" w:rsidR="00B30758" w:rsidRDefault="00B30758" w:rsidP="000768D9">
      <w:pPr>
        <w:jc w:val="both"/>
        <w:rPr>
          <w:rtl/>
        </w:rPr>
      </w:pPr>
      <w:r w:rsidRPr="00B30758">
        <w:rPr>
          <w:rFonts w:hint="cs"/>
          <w:b/>
          <w:bCs/>
          <w:rtl/>
        </w:rPr>
        <w:t>شاگرد</w:t>
      </w:r>
      <w:r>
        <w:rPr>
          <w:rFonts w:hint="cs"/>
          <w:rtl/>
        </w:rPr>
        <w:t>:</w:t>
      </w:r>
      <w:r w:rsidR="00E57052">
        <w:rPr>
          <w:rFonts w:hint="cs"/>
          <w:rtl/>
        </w:rPr>
        <w:t xml:space="preserve"> آیا</w:t>
      </w:r>
      <w:r>
        <w:rPr>
          <w:rFonts w:hint="cs"/>
          <w:rtl/>
        </w:rPr>
        <w:t xml:space="preserve"> آنان که ظهور امر عقیب حظر در وجوب را پابرجا می‌دانند، </w:t>
      </w:r>
      <w:r>
        <w:rPr>
          <w:color w:val="007200"/>
          <w:rtl/>
        </w:rPr>
        <w:t>﴿وَ إِذا حَلَلْتُمْ فَاصْطادُوا﴾</w:t>
      </w:r>
      <w:r>
        <w:rPr>
          <w:rStyle w:val="FootnoteReference"/>
          <w:color w:val="007200"/>
          <w:rtl/>
        </w:rPr>
        <w:footnoteReference w:id="3"/>
      </w:r>
      <w:r>
        <w:rPr>
          <w:color w:val="007200"/>
          <w:rtl/>
        </w:rPr>
        <w:t xml:space="preserve"> </w:t>
      </w:r>
      <w:r>
        <w:rPr>
          <w:rFonts w:hint="cs"/>
          <w:rtl/>
        </w:rPr>
        <w:t>را دالّ بر وجوب صید می‌دانند؟</w:t>
      </w:r>
    </w:p>
    <w:p w14:paraId="17F62A71" w14:textId="04AACA89" w:rsidR="00E57052" w:rsidRDefault="00B30758" w:rsidP="000768D9">
      <w:pPr>
        <w:jc w:val="both"/>
        <w:rPr>
          <w:rtl/>
        </w:rPr>
      </w:pPr>
      <w:r w:rsidRPr="00B30758">
        <w:rPr>
          <w:rFonts w:hint="cs"/>
          <w:b/>
          <w:bCs/>
          <w:rtl/>
        </w:rPr>
        <w:lastRenderedPageBreak/>
        <w:t>استاد</w:t>
      </w:r>
      <w:r>
        <w:rPr>
          <w:rFonts w:hint="cs"/>
          <w:rtl/>
        </w:rPr>
        <w:t xml:space="preserve">: </w:t>
      </w:r>
      <w:r w:rsidR="00E57052">
        <w:rPr>
          <w:rFonts w:hint="cs"/>
          <w:rtl/>
        </w:rPr>
        <w:t xml:space="preserve">بحث مربوط به جایی است که قرینه‌ای بر وجوب و عدم وجوب وجود ندارد. </w:t>
      </w:r>
      <w:r>
        <w:rPr>
          <w:rFonts w:hint="cs"/>
          <w:rtl/>
        </w:rPr>
        <w:t xml:space="preserve">محقق خراسانی می‌فرمایند برای این بحث، چندان نمی‌توان به موارد </w:t>
      </w:r>
      <w:r w:rsidR="00E57052">
        <w:rPr>
          <w:rFonts w:hint="cs"/>
          <w:rtl/>
        </w:rPr>
        <w:t xml:space="preserve">استعمال </w:t>
      </w:r>
      <w:r>
        <w:rPr>
          <w:rFonts w:hint="cs"/>
          <w:rtl/>
        </w:rPr>
        <w:t>استشهاد کرد؛ چون موارد استعمال امر عقیب حظر، معمولاً با قرینه‌ای همراه</w:t>
      </w:r>
      <w:r w:rsidR="00E57052">
        <w:rPr>
          <w:rFonts w:hint="cs"/>
          <w:rtl/>
        </w:rPr>
        <w:t xml:space="preserve"> است </w:t>
      </w:r>
      <w:r>
        <w:rPr>
          <w:rFonts w:hint="cs"/>
          <w:rtl/>
        </w:rPr>
        <w:t>که تعیین‌کنندۀ مفاد آن است. بحث پیرامون جایی</w:t>
      </w:r>
      <w:r w:rsidR="00E57052">
        <w:rPr>
          <w:rFonts w:hint="cs"/>
          <w:rtl/>
        </w:rPr>
        <w:t xml:space="preserve"> است</w:t>
      </w:r>
      <w:r>
        <w:rPr>
          <w:rFonts w:hint="cs"/>
          <w:rtl/>
        </w:rPr>
        <w:t xml:space="preserve"> که قرینۀ خاصی بر وجوب یا عدم وجوب فراهم نباشد و گویا محقق خراسانی </w:t>
      </w:r>
      <w:r w:rsidR="00E57052">
        <w:rPr>
          <w:rFonts w:hint="cs"/>
          <w:rtl/>
        </w:rPr>
        <w:t>می‌خواهند بفرمایند همواره قرینه وجود دارد؛ ازهمین‌رو ایشان از بررسی استعمالات، رویگردان شده است.</w:t>
      </w:r>
    </w:p>
    <w:p w14:paraId="5D7ABB2A" w14:textId="126A0220" w:rsidR="00281BC9" w:rsidRDefault="00281BC9" w:rsidP="000768D9">
      <w:pPr>
        <w:pStyle w:val="Heading2"/>
        <w:jc w:val="both"/>
        <w:rPr>
          <w:rtl/>
        </w:rPr>
      </w:pPr>
      <w:bookmarkStart w:id="7" w:name="_Toc184622574"/>
      <w:r>
        <w:rPr>
          <w:rFonts w:hint="cs"/>
          <w:rtl/>
        </w:rPr>
        <w:t xml:space="preserve">مرور </w:t>
      </w:r>
      <w:r w:rsidR="00977D2F">
        <w:rPr>
          <w:rFonts w:hint="cs"/>
          <w:rtl/>
        </w:rPr>
        <w:t>کلام</w:t>
      </w:r>
      <w:r>
        <w:rPr>
          <w:rFonts w:hint="cs"/>
          <w:rtl/>
        </w:rPr>
        <w:t xml:space="preserve"> محقّق خوئی در تحریر محلّ بحث</w:t>
      </w:r>
      <w:bookmarkEnd w:id="7"/>
    </w:p>
    <w:p w14:paraId="02C14989" w14:textId="20078DB9" w:rsidR="00160912" w:rsidRPr="00961F3E" w:rsidRDefault="00E57052" w:rsidP="000768D9">
      <w:pPr>
        <w:jc w:val="both"/>
      </w:pPr>
      <w:r>
        <w:rPr>
          <w:rFonts w:hint="cs"/>
          <w:rtl/>
        </w:rPr>
        <w:t>محقق خوئی در موسوعة جلد 7 صفحۀ 241 در مبحث حیض، به بحث استظهار اشاره نموده‌اند</w:t>
      </w:r>
      <w:r w:rsidR="00B16D9F">
        <w:rPr>
          <w:rFonts w:hint="cs"/>
          <w:rtl/>
        </w:rPr>
        <w:t xml:space="preserve">. گفتنی است نگاه محقق خوئی در تفسیر استظهار، با نگاه آیت الله والد متفاوت است. اینک قصد داریم بحث را از منظر محقق خوئی دنبال کنیم. برای مثال، زنی را در نظر بگیرید که عادت عددیة‌اش 7 روز است و در ایّام عادت خون دیده و خونریزی‌اش تا بعد از ایّام عادت ادامه پیدا کرده است. محقّق خوئی می‌فرماید اگر شکّ کردیم این خون، از 10 روز تجاوز می‌کند تا فقط ایّام عادتش حیض محسوب شود، یا از 10 </w:t>
      </w:r>
      <w:r w:rsidR="000768D9">
        <w:rPr>
          <w:rFonts w:hint="cs"/>
          <w:rtl/>
        </w:rPr>
        <w:t xml:space="preserve">روز </w:t>
      </w:r>
      <w:r w:rsidR="00B16D9F">
        <w:rPr>
          <w:rFonts w:hint="cs"/>
          <w:rtl/>
        </w:rPr>
        <w:t xml:space="preserve">تجاوز نمی‌کند تا </w:t>
      </w:r>
      <w:r w:rsidR="00281BC9">
        <w:rPr>
          <w:rFonts w:hint="cs"/>
          <w:rtl/>
        </w:rPr>
        <w:t xml:space="preserve">تمّام مدّت خونریزی‌اش حیض محسوب شود، در روایات امر شده است که زن باید استظهار کند؛ بدین‌سان که تا وقتی وضعیّت خون نامشخص است، زن باید خود را حائض بداند و احکام حائض را مترتّب کند. پرسش آن است که آیا استظهار و حیض شمردن این خون، مستحبّ است یا واجب؟ محقّق خوئی در پاسخ بدین پرسش فرموده‌اند: </w:t>
      </w:r>
      <w:r w:rsidR="00281BC9" w:rsidRPr="00281BC9">
        <w:rPr>
          <w:color w:val="000080"/>
          <w:rtl/>
        </w:rPr>
        <w:t>و قد يقال بحمل الأخبار الآمرة بالاستظهار على الاستحباب في نفسها مع قطع النّظر عن معارضتها مع الطائفة الثّانية النافية لوجوب الاستظهار، و ذلك بدعوى أنّ المورد من موارد توهّم الحظر، حيث إنّ المرأة تحتمل حرمة ترك الصّلاة في تلكم الأيّام لاحتمال كونها طاهرة و ممّن تجب عليها الصّلاة، فالأوامر الواردة بترك الصّلاة إنّما وردت دفعاً لهذا التوهّم، فلا ظهور لها في الوجوب في نفسها، و إنّما هي تفيد الإباحة و الجواز</w:t>
      </w:r>
      <w:r w:rsidR="00281BC9" w:rsidRPr="00281BC9">
        <w:rPr>
          <w:rtl/>
        </w:rPr>
        <w:t>.</w:t>
      </w:r>
    </w:p>
    <w:p w14:paraId="6F9B3DE8" w14:textId="69066E49" w:rsidR="00AB08DB" w:rsidRDefault="007175D0" w:rsidP="000768D9">
      <w:pPr>
        <w:jc w:val="both"/>
        <w:rPr>
          <w:rtl/>
        </w:rPr>
      </w:pPr>
      <w:r>
        <w:rPr>
          <w:rFonts w:hint="cs"/>
          <w:rtl/>
        </w:rPr>
        <w:t>حال فارغ از ادامۀ بحث محقّق خوئی، ایشان می‌فرماید امری که</w:t>
      </w:r>
      <w:r w:rsidR="009B2C8C">
        <w:rPr>
          <w:rFonts w:hint="cs"/>
          <w:rtl/>
        </w:rPr>
        <w:t xml:space="preserve"> در این بحث،</w:t>
      </w:r>
      <w:r>
        <w:rPr>
          <w:rFonts w:hint="cs"/>
          <w:rtl/>
        </w:rPr>
        <w:t xml:space="preserve"> به ترک نماز صورت گرفته، </w:t>
      </w:r>
      <w:r w:rsidR="009B2C8C">
        <w:rPr>
          <w:rFonts w:hint="cs"/>
          <w:rtl/>
        </w:rPr>
        <w:t xml:space="preserve">امر </w:t>
      </w:r>
      <w:r>
        <w:rPr>
          <w:rFonts w:hint="cs"/>
          <w:rtl/>
        </w:rPr>
        <w:t xml:space="preserve">در مقام توهّم حظر است؛ چون </w:t>
      </w:r>
      <w:r w:rsidR="009B2C8C">
        <w:rPr>
          <w:rFonts w:hint="cs"/>
          <w:rtl/>
        </w:rPr>
        <w:t>احتمال می‌رود نماز واجب باشد و ترکش حرام باشد</w:t>
      </w:r>
      <w:r>
        <w:rPr>
          <w:rFonts w:hint="cs"/>
          <w:rtl/>
        </w:rPr>
        <w:t>. بدین ترتیب وقتی به ترک نماز امر می‌شود، صرفاً دالّ بر نبود حظر است و بر بیش از جواز ترک نماز</w:t>
      </w:r>
      <w:r w:rsidR="009B2C8C">
        <w:rPr>
          <w:rFonts w:hint="cs"/>
          <w:rtl/>
        </w:rPr>
        <w:t xml:space="preserve"> دلالت ندارد. این در حالی است که مدّعای ایشان، حمل اخبار بر استحباب بود، ولی استدلالشان صرفاً جواز را اثبات می‌کند.</w:t>
      </w:r>
      <w:r w:rsidR="001372C1">
        <w:rPr>
          <w:rFonts w:hint="cs"/>
          <w:rtl/>
        </w:rPr>
        <w:t xml:space="preserve"> بنابراین تأکید اصلی ایشان بر عدم وجوب است، نه آن‌که حتماً مستحبّ است.</w:t>
      </w:r>
    </w:p>
    <w:p w14:paraId="428754E3" w14:textId="672C81FE" w:rsidR="001372C1" w:rsidRDefault="001372C1" w:rsidP="000768D9">
      <w:pPr>
        <w:jc w:val="both"/>
        <w:rPr>
          <w:rtl/>
        </w:rPr>
      </w:pPr>
      <w:r>
        <w:rPr>
          <w:rFonts w:hint="cs"/>
          <w:rtl/>
        </w:rPr>
        <w:t xml:space="preserve">البته یکی از اقوال در امر عقیب حظر، دلالتش بر استحباب بود، ولی معمول اندیشمندان این دیدگاه را نپذیرفته‌اند؛ بلکه یا به وجوب قائل شده‌اند </w:t>
      </w:r>
      <w:r w:rsidR="000768D9">
        <w:rPr>
          <w:rFonts w:hint="cs"/>
          <w:rtl/>
        </w:rPr>
        <w:t xml:space="preserve">و </w:t>
      </w:r>
      <w:r>
        <w:rPr>
          <w:rFonts w:hint="cs"/>
          <w:rtl/>
        </w:rPr>
        <w:t>یا به اباحۀ به معنای اعم و مانند آن.</w:t>
      </w:r>
    </w:p>
    <w:p w14:paraId="440DD5B9" w14:textId="0CC2584E" w:rsidR="001372C1" w:rsidRDefault="001372C1" w:rsidP="000768D9">
      <w:pPr>
        <w:jc w:val="both"/>
        <w:rPr>
          <w:rtl/>
        </w:rPr>
      </w:pPr>
      <w:r>
        <w:rPr>
          <w:rFonts w:hint="cs"/>
          <w:rtl/>
        </w:rPr>
        <w:t xml:space="preserve">فارغ از این نکتۀ جانبی، محقق خوئی در ادامه چنین ابراز داشته‌اند: </w:t>
      </w:r>
      <w:r w:rsidRPr="001372C1">
        <w:rPr>
          <w:color w:val="000080"/>
          <w:rtl/>
        </w:rPr>
        <w:t xml:space="preserve">و يدفعه: أنّ ترك الصّلاة كما يحتمل حرمته على المرأة في أيّام استظهارها </w:t>
      </w:r>
      <w:r w:rsidRPr="001372C1">
        <w:rPr>
          <w:rFonts w:hint="cs"/>
          <w:color w:val="000080"/>
          <w:rtl/>
        </w:rPr>
        <w:t xml:space="preserve">کذلک </w:t>
      </w:r>
      <w:r w:rsidRPr="001372C1">
        <w:rPr>
          <w:color w:val="000080"/>
          <w:rtl/>
        </w:rPr>
        <w:t>يحتمل أن يكون إتيانها بها بقصد القربة م</w:t>
      </w:r>
      <w:r w:rsidR="00B63235">
        <w:rPr>
          <w:rFonts w:hint="cs"/>
          <w:color w:val="000080"/>
          <w:rtl/>
        </w:rPr>
        <w:t>ُ</w:t>
      </w:r>
      <w:r w:rsidRPr="001372C1">
        <w:rPr>
          <w:color w:val="000080"/>
          <w:rtl/>
        </w:rPr>
        <w:t>حر</w:t>
      </w:r>
      <w:r w:rsidR="00B63235">
        <w:rPr>
          <w:rFonts w:hint="cs"/>
          <w:color w:val="000080"/>
          <w:rtl/>
        </w:rPr>
        <w:t>ّ</w:t>
      </w:r>
      <w:r w:rsidRPr="001372C1">
        <w:rPr>
          <w:color w:val="000080"/>
          <w:rtl/>
        </w:rPr>
        <w:t>ماً</w:t>
      </w:r>
      <w:r w:rsidR="00B63235">
        <w:rPr>
          <w:rFonts w:hint="cs"/>
          <w:color w:val="000080"/>
          <w:rtl/>
        </w:rPr>
        <w:t>.</w:t>
      </w:r>
      <w:r w:rsidR="00B63235">
        <w:rPr>
          <w:rFonts w:hint="cs"/>
          <w:color w:val="000000"/>
          <w:rtl/>
        </w:rPr>
        <w:t xml:space="preserve"> ایشان </w:t>
      </w:r>
      <w:r w:rsidR="00B63235" w:rsidRPr="00B63235">
        <w:rPr>
          <w:rFonts w:hint="cs"/>
          <w:color w:val="000000"/>
          <w:rtl/>
        </w:rPr>
        <w:t>می‌فرماید هم احتمال می‌رود ترک نماز حرام باشد، و هم احتمال می‌رود انجام نماز</w:t>
      </w:r>
      <w:r w:rsidR="00B63235">
        <w:rPr>
          <w:rFonts w:hint="cs"/>
          <w:color w:val="000000"/>
          <w:rtl/>
        </w:rPr>
        <w:t xml:space="preserve">_البته چنانچه با قصد قربت همراه باشد_ </w:t>
      </w:r>
      <w:r w:rsidR="00B63235" w:rsidRPr="00B63235">
        <w:rPr>
          <w:rFonts w:hint="cs"/>
          <w:color w:val="000000"/>
          <w:rtl/>
        </w:rPr>
        <w:t>حرام باشد</w:t>
      </w:r>
      <w:r w:rsidR="00B63235">
        <w:rPr>
          <w:rFonts w:hint="cs"/>
          <w:color w:val="000000"/>
          <w:rtl/>
        </w:rPr>
        <w:t>. بدین ترتیب نمی‌توان امر به ترک نماز را مصداق امر در مقام توهّم حظر دانست. این نکته، نکتۀ مهمی است که ایشان در کلّ این بحث‌ها مطرح نموده و ما نیز باید بدان بپردازیم.</w:t>
      </w:r>
    </w:p>
    <w:p w14:paraId="601023FB" w14:textId="115923C9" w:rsidR="00977D2F" w:rsidRDefault="00977D2F" w:rsidP="000768D9">
      <w:pPr>
        <w:pStyle w:val="Heading2"/>
        <w:jc w:val="both"/>
        <w:rPr>
          <w:rtl/>
        </w:rPr>
      </w:pPr>
      <w:bookmarkStart w:id="8" w:name="_Toc184622575"/>
      <w:r>
        <w:rPr>
          <w:rFonts w:hint="cs"/>
          <w:rtl/>
        </w:rPr>
        <w:t>مرور کلام آیت الله شبیری زنجانی دامت برکاته در تحریر محلّ بحث</w:t>
      </w:r>
      <w:bookmarkEnd w:id="8"/>
    </w:p>
    <w:p w14:paraId="18C9BA03" w14:textId="256BC012" w:rsidR="00977D2F" w:rsidRDefault="00B63235" w:rsidP="000768D9">
      <w:pPr>
        <w:jc w:val="both"/>
        <w:rPr>
          <w:rtl/>
        </w:rPr>
      </w:pPr>
      <w:r>
        <w:rPr>
          <w:rFonts w:hint="cs"/>
          <w:rtl/>
        </w:rPr>
        <w:t>شبیه این سخن، توسط آیت الله والد در</w:t>
      </w:r>
      <w:r w:rsidR="00977D2F">
        <w:rPr>
          <w:rFonts w:hint="cs"/>
          <w:rtl/>
        </w:rPr>
        <w:t xml:space="preserve"> بحث مصرف</w:t>
      </w:r>
      <w:r>
        <w:rPr>
          <w:rFonts w:hint="cs"/>
          <w:rtl/>
        </w:rPr>
        <w:t xml:space="preserve"> </w:t>
      </w:r>
      <w:r w:rsidR="00977D2F">
        <w:rPr>
          <w:rFonts w:hint="cs"/>
          <w:rtl/>
        </w:rPr>
        <w:t>هدی و قربانی حجّ</w:t>
      </w:r>
      <w:r>
        <w:rPr>
          <w:rFonts w:hint="cs"/>
          <w:rtl/>
        </w:rPr>
        <w:t xml:space="preserve"> مطرح شده است.</w:t>
      </w:r>
      <w:r w:rsidR="00977D2F">
        <w:rPr>
          <w:rFonts w:hint="cs"/>
          <w:rtl/>
        </w:rPr>
        <w:t xml:space="preserve"> در روایاتی که پیرامون مصرف هدی و قربانی حجّ وارد شده، به سه چیز امر شده است که عبارتند از: اکل، هدیه، و تصدّق. یک بحث آن است که آیا مصرف هدی و قربانی در این سه </w:t>
      </w:r>
      <w:r w:rsidR="00977D2F">
        <w:rPr>
          <w:rFonts w:hint="cs"/>
          <w:rtl/>
        </w:rPr>
        <w:lastRenderedPageBreak/>
        <w:t xml:space="preserve">چیز باید به میزان مساوی باشد یا خیر؟ اینک به این بحث کاری نداریم. بحثی که اینک باید بدان بپردازیم آن است که امری که به این سه چیز تعلّق گرفته، </w:t>
      </w:r>
      <w:r w:rsidR="00661F94">
        <w:rPr>
          <w:rFonts w:hint="cs"/>
          <w:rtl/>
        </w:rPr>
        <w:t>به معنای وجوب این سه چیز است یا خیر؟</w:t>
      </w:r>
    </w:p>
    <w:p w14:paraId="6A1A16FB" w14:textId="0C5AAD82" w:rsidR="00661F94" w:rsidRDefault="00661F94" w:rsidP="000768D9">
      <w:pPr>
        <w:jc w:val="both"/>
        <w:rPr>
          <w:rtl/>
        </w:rPr>
      </w:pPr>
      <w:r>
        <w:rPr>
          <w:rFonts w:hint="cs"/>
          <w:rtl/>
        </w:rPr>
        <w:t>در خصوص تصدّق برخی گفته‌اند واجب نیست، چون امر به تصدّق، امری است که در مقام توهم حظر صادر شده است. توضیح آن‌که، اصل ماجرای هدی، از داستان هابیل و قابیل گرفته شده است. نشانۀ قبول شدن قربانی، آن بوده که آتشی می‌آمده و قربانی را می‌سوزانده. بدین ترتیب مجال این توهّم وجود دارد که حیوانی که قربانی می‌شود، زین پس صلاحیّت مصرف ندارد؛ یعنی نه می‌توان آن را خورد، نه می‌توان به دیگری هدیه داد، و نه می‌توان به فقیر صدقه داد.</w:t>
      </w:r>
      <w:r w:rsidR="00D609E5">
        <w:rPr>
          <w:rFonts w:hint="cs"/>
          <w:rtl/>
        </w:rPr>
        <w:t xml:space="preserve"> در جایی که توهّم منع تصدّق وجود دارد، وقتی به تصدّق امر می‌شود، صرفاً بر جواز تصدّق دلالت می‌کند و نه وجوب آن.</w:t>
      </w:r>
    </w:p>
    <w:p w14:paraId="774C16E4" w14:textId="51AFE9CD" w:rsidR="00D609E5" w:rsidRDefault="00D609E5" w:rsidP="000768D9">
      <w:pPr>
        <w:jc w:val="both"/>
        <w:rPr>
          <w:rtl/>
        </w:rPr>
      </w:pPr>
      <w:r>
        <w:rPr>
          <w:rFonts w:hint="cs"/>
          <w:rtl/>
        </w:rPr>
        <w:t>آیت الله والد می‌فرمودند امر در مقام توهّم حظر، تنها در جایی ظهورش در وجوب را از دست می‌دهد که صرفاً در مقام توهّم حظر باشد؛ بدین ترتیب اگر در جایی افزون بر زمینۀ حظر، زمینۀ وجوب نیز وجود داشته باشد، امر دالّ بر وجوب خواهد بود.</w:t>
      </w:r>
    </w:p>
    <w:p w14:paraId="443852AB" w14:textId="77777777" w:rsidR="00A52791" w:rsidRDefault="00D609E5" w:rsidP="000768D9">
      <w:pPr>
        <w:jc w:val="both"/>
        <w:rPr>
          <w:rtl/>
        </w:rPr>
      </w:pPr>
      <w:r>
        <w:rPr>
          <w:rFonts w:hint="cs"/>
          <w:rtl/>
        </w:rPr>
        <w:t xml:space="preserve">این نکته، در بحث کنونی بسیار حائز اهمّیت است. این </w:t>
      </w:r>
      <w:r w:rsidR="0088209F">
        <w:rPr>
          <w:rFonts w:hint="cs"/>
          <w:rtl/>
        </w:rPr>
        <w:t>مطلب نیز</w:t>
      </w:r>
      <w:r>
        <w:rPr>
          <w:rFonts w:hint="cs"/>
          <w:rtl/>
        </w:rPr>
        <w:t xml:space="preserve"> </w:t>
      </w:r>
      <w:r w:rsidR="0088209F">
        <w:rPr>
          <w:rFonts w:hint="cs"/>
          <w:rtl/>
        </w:rPr>
        <w:t>باید توضیح داده شود</w:t>
      </w:r>
      <w:r>
        <w:rPr>
          <w:rFonts w:hint="cs"/>
          <w:rtl/>
        </w:rPr>
        <w:t xml:space="preserve"> که زمینۀ وجوب داشتن به چه معناست؟</w:t>
      </w:r>
    </w:p>
    <w:p w14:paraId="00C18798" w14:textId="566EF215" w:rsidR="00A52791" w:rsidRDefault="00A52791" w:rsidP="000768D9">
      <w:pPr>
        <w:pStyle w:val="Heading2"/>
        <w:jc w:val="both"/>
        <w:rPr>
          <w:rtl/>
        </w:rPr>
      </w:pPr>
      <w:bookmarkStart w:id="9" w:name="_Toc184622576"/>
      <w:r>
        <w:rPr>
          <w:rFonts w:hint="cs"/>
          <w:rtl/>
        </w:rPr>
        <w:t>ادامۀ کلام محقق خوئی</w:t>
      </w:r>
      <w:r w:rsidR="00452228">
        <w:rPr>
          <w:rFonts w:hint="cs"/>
          <w:rtl/>
        </w:rPr>
        <w:t xml:space="preserve"> در تحریر محلّ بحث</w:t>
      </w:r>
      <w:bookmarkEnd w:id="9"/>
    </w:p>
    <w:p w14:paraId="4DDAF13F" w14:textId="3FC84310" w:rsidR="00D609E5" w:rsidRDefault="0088209F" w:rsidP="000768D9">
      <w:pPr>
        <w:jc w:val="both"/>
        <w:rPr>
          <w:rtl/>
        </w:rPr>
      </w:pPr>
      <w:r>
        <w:rPr>
          <w:rFonts w:hint="cs"/>
          <w:rtl/>
        </w:rPr>
        <w:t>محقّق خوئی نیز قصد داشتند بر همین نکته تأکید کنند که هر چند ترک نماز، زمینه‌دار حظر است، ولی ترک نماز به قصد قربت، زمینۀ وجوب را نیز دارا بوده و همین نکته سبب می‌شود دلالت امر بر وجوب پابرجا بماند. علّت مطلب آن است که احتمال می‌رود نماز خواندن با قصد قربت برای این زن حرام باشد و ترک آن واجب باشد. با وجود این احتمال، دیگر نمی‌توان گفت امر به ترک نماز، امر در مقام توهّم حظر است چون افزون بر توهّم حظر، زمینۀ وجوب را نیز داراست.</w:t>
      </w:r>
    </w:p>
    <w:p w14:paraId="15BEE5AD" w14:textId="350F4420" w:rsidR="00727495" w:rsidRDefault="00727495" w:rsidP="000768D9">
      <w:pPr>
        <w:jc w:val="both"/>
        <w:rPr>
          <w:rtl/>
        </w:rPr>
      </w:pPr>
      <w:r>
        <w:rPr>
          <w:rFonts w:hint="cs"/>
          <w:rtl/>
        </w:rPr>
        <w:t>امر به استظهار، به معنای امر به ترتیب احکام حیض است. زنی که در حائض بودن خود تردید دارد، از یک سو احتمال می‌دهد حائض باشد و مثلاً تمکینش نسبت به زوج، حرام باشد؛ از دیگر سو احتمال می‌دهد طاهر باشد و تمکینش نسبت به زوج، واجب باشد. بدین ترتیب ترک تمکین، هم زمینه‌دار حظر است و هم زمینه‌دار وجوب. در چنین حالتی اگر به ترک تمکین و ترتیب آثار حیض امر شود، مصداق بحث امر در مقام توهّم حظر نیست</w:t>
      </w:r>
      <w:r w:rsidR="00A52791">
        <w:rPr>
          <w:rFonts w:hint="cs"/>
          <w:rtl/>
        </w:rPr>
        <w:t xml:space="preserve"> چون امر دائر است بین وجوب و حظر. محقق خوئی می‌فرماید: </w:t>
      </w:r>
      <w:r w:rsidR="00A52791" w:rsidRPr="00A52791">
        <w:rPr>
          <w:color w:val="000080"/>
          <w:rtl/>
        </w:rPr>
        <w:t>لدوران أمرها بين الحيض و الطهر، و قد سبق أنّ لكلّ منهما أحكاماً إلزاميّة، فالمقام من دوران الأمر بين المحذورين لا من موارد توهّم الحظر الّتي توجب ظهور الأمر فيها في الإباحة</w:t>
      </w:r>
      <w:r w:rsidR="00A52791">
        <w:rPr>
          <w:rtl/>
        </w:rPr>
        <w:t>.</w:t>
      </w:r>
      <w:r w:rsidR="00A52791">
        <w:rPr>
          <w:rFonts w:hint="cs"/>
          <w:rtl/>
        </w:rPr>
        <w:t xml:space="preserve"> البته ظهور امر مزبور در اباحه مورد اختلاف است چون همانطور که گذشت، اقوال مختلفی در این زمینه مطرح شده است؛ ولی به هر حال معمول اندیشمندان باور دارند، امر مزبور ظهورش در وجوب را از دست می‌دهد</w:t>
      </w:r>
      <w:r w:rsidR="00D23103">
        <w:rPr>
          <w:rFonts w:hint="cs"/>
          <w:rtl/>
        </w:rPr>
        <w:t>. مرحوم آقای صدر نیز که از بین رفتن ظهور امر در وجوب را مورد اتفاق دانسته‌اند، در حقیقت مورد اتفاق اساتید محقق خوئی و اندیشمندان هم‌ردۀ ایشان است؛ یعنی اندیشمندان متأخر همچون محقق خراسانی در این مطلب اتفاق نظر دارند که امر مزبور، ظهورش در وجوب را از دست می‌دهد. حال ظهور داشتنش در ندب، یا اباحه و یا اجمال داشتن آن، بحث دیگری است که مورد اختلاف واقع شده است.</w:t>
      </w:r>
    </w:p>
    <w:p w14:paraId="37D46BCF" w14:textId="6DC9AB51" w:rsidR="00D23103" w:rsidRDefault="00B54D5C" w:rsidP="000768D9">
      <w:pPr>
        <w:jc w:val="both"/>
        <w:rPr>
          <w:rtl/>
        </w:rPr>
      </w:pPr>
      <w:r w:rsidRPr="00B54D5C">
        <w:rPr>
          <w:rFonts w:hint="cs"/>
          <w:b/>
          <w:bCs/>
          <w:rtl/>
        </w:rPr>
        <w:t>شاگرد</w:t>
      </w:r>
      <w:r>
        <w:rPr>
          <w:rFonts w:hint="cs"/>
          <w:rtl/>
        </w:rPr>
        <w:t>: اگر فقط توهّم حظر وجود دارد، و زمینۀ وجوب وجود ندارد، تفاوتش با فرمایش محقق خراسانی چیست؟ ایشان فرمودند محل بحث منحصر به جایی است که قرینه‌ای بر وجوب یا عدم وجوب فراهم نباشد. اگر زمینۀ وجوب وجود ندارد، یعنی قرینه بر عدم وجوب فراهم است.</w:t>
      </w:r>
    </w:p>
    <w:p w14:paraId="5551E2CF" w14:textId="143BF94F" w:rsidR="00B54D5C" w:rsidRDefault="00B54D5C" w:rsidP="000768D9">
      <w:pPr>
        <w:jc w:val="both"/>
        <w:rPr>
          <w:rtl/>
        </w:rPr>
      </w:pPr>
      <w:r w:rsidRPr="00B54D5C">
        <w:rPr>
          <w:rFonts w:hint="cs"/>
          <w:b/>
          <w:bCs/>
          <w:rtl/>
        </w:rPr>
        <w:lastRenderedPageBreak/>
        <w:t>استاد</w:t>
      </w:r>
      <w:r>
        <w:rPr>
          <w:rFonts w:hint="cs"/>
          <w:rtl/>
        </w:rPr>
        <w:t>: در ادامه به این موضوع خواهیم پرداخت که اگر توهّم وجوب، وجود ندارد، پس ازچه‌رو از دلالت امر بر وجوب بحث می‌شود؟ اگر واقعاً زمینۀ وجوب وجود ندارد و احتمال آن نمی‌رود، چگونه می‌توان از دلالت امر بر وجوب بحث نمود؟</w:t>
      </w:r>
      <w:r w:rsidR="00C83552">
        <w:rPr>
          <w:rFonts w:hint="cs"/>
          <w:rtl/>
        </w:rPr>
        <w:t xml:space="preserve"> این مطلب توضیحی دارد که بدان خواهیم پرداخت. اینک صرفاً در مقام مرور کلمات اندیشمندان هستیم.</w:t>
      </w:r>
    </w:p>
    <w:p w14:paraId="0979269C" w14:textId="261BE4E1" w:rsidR="00C83552" w:rsidRDefault="00C83552" w:rsidP="000768D9">
      <w:pPr>
        <w:jc w:val="both"/>
        <w:rPr>
          <w:rtl/>
        </w:rPr>
      </w:pPr>
      <w:r>
        <w:rPr>
          <w:rFonts w:hint="cs"/>
          <w:rtl/>
        </w:rPr>
        <w:t xml:space="preserve">محقق خوئی، در موسوعة جلد 9 صفحۀ 211 به بحث جواز امام جماعت شدن زن پرداخته‌اند. </w:t>
      </w:r>
      <w:r w:rsidR="00213CE5">
        <w:rPr>
          <w:rFonts w:hint="cs"/>
          <w:rtl/>
        </w:rPr>
        <w:t xml:space="preserve">پیرامون امام جماعت شدن زن، روایت صحیح السندی از زراره نقل شده است: </w:t>
      </w:r>
      <w:r w:rsidR="00213CE5" w:rsidRPr="00213CE5">
        <w:rPr>
          <w:color w:val="008000"/>
          <w:rtl/>
        </w:rPr>
        <w:t>قُلْتُ الْمَرْأَةُ تَؤُمُّ النِّسَاءَ قَالَ لَا إِلَّا عَلَى الْمَيِّتِ إِذَا لَمْ يَكُنْ أَحَدٌ أَوْلَى مِنْهَا تَقُومُ وَسَطَهُنَّ فِي الصَّفِّ فَتُكَبِّرُ وَ يُكَبِّرْنَ</w:t>
      </w:r>
      <w:r w:rsidR="00213CE5" w:rsidRPr="00213CE5">
        <w:rPr>
          <w:rtl/>
        </w:rPr>
        <w:t>.</w:t>
      </w:r>
      <w:r w:rsidR="00213CE5">
        <w:rPr>
          <w:rStyle w:val="FootnoteReference"/>
          <w:rtl/>
        </w:rPr>
        <w:footnoteReference w:id="4"/>
      </w:r>
      <w:r>
        <w:rPr>
          <w:rFonts w:hint="cs"/>
          <w:rtl/>
        </w:rPr>
        <w:t xml:space="preserve"> </w:t>
      </w:r>
      <w:r w:rsidR="00213CE5">
        <w:rPr>
          <w:rFonts w:hint="cs"/>
          <w:rtl/>
        </w:rPr>
        <w:t xml:space="preserve">در این روایت، «تقوم وسطهن» امر به قیام زن </w:t>
      </w:r>
      <w:r w:rsidR="00940835">
        <w:rPr>
          <w:rFonts w:hint="cs"/>
          <w:rtl/>
        </w:rPr>
        <w:t xml:space="preserve">در وسط زنان است. در روایات مشابه نیز از جلوتر ایستادن زن نهی شده است. </w:t>
      </w:r>
      <w:r w:rsidR="00363691">
        <w:rPr>
          <w:rFonts w:hint="cs"/>
          <w:rtl/>
        </w:rPr>
        <w:t xml:space="preserve">به فرمودۀ محقق خوئی مشهور </w:t>
      </w:r>
      <w:r w:rsidR="00940835">
        <w:rPr>
          <w:rFonts w:hint="cs"/>
          <w:rtl/>
        </w:rPr>
        <w:t>فقهاء</w:t>
      </w:r>
      <w:r w:rsidR="00363691">
        <w:rPr>
          <w:rFonts w:hint="cs"/>
          <w:rtl/>
        </w:rPr>
        <w:t>،</w:t>
      </w:r>
      <w:r w:rsidR="00940835">
        <w:rPr>
          <w:rFonts w:hint="cs"/>
          <w:rtl/>
        </w:rPr>
        <w:t xml:space="preserve"> این امر و نهی را بر استحباب و کراهت حمل نموده‌اند. </w:t>
      </w:r>
      <w:r w:rsidR="00363691">
        <w:rPr>
          <w:rFonts w:hint="cs"/>
          <w:rtl/>
        </w:rPr>
        <w:t xml:space="preserve">ایشان بدین مناسبت این پرسش را مطرح نموده است که وجه حمل امر و نهی مزبور به استحباب و کراهت چه بوده است؟ </w:t>
      </w:r>
      <w:r w:rsidR="00363691" w:rsidRPr="00363691">
        <w:rPr>
          <w:color w:val="000080"/>
          <w:rtl/>
        </w:rPr>
        <w:t>و الكلام يقع في وجه ذلك و أنه لماذا حملوا الأمر في الصحيحة على الاستحباب أو النهي عن تقدمها عليهن على الكراهة؟و قد ذكر المحقق الهمداني (قدس سره) في وجه ذلك أمرين:أحدهما: ما حاصله: أن الأمر بالوقوف في صفهن إنما ورد في مورد توهم الحظر لتخيل أن تلك الجماعة كجماعة الرجال لا بدّ من وقوف الإمام فيها متقدِّماً على المأمومين، و الأمر الوارد عند توهم الحظر لا يدل على الوجوب، كما أن النهي عن تقدّمها عليهنّ ورد في مقام توهم الوجوب و هو ظاهر في غير الحرمة</w:t>
      </w:r>
      <w:r w:rsidR="00363691" w:rsidRPr="00363691">
        <w:rPr>
          <w:rtl/>
        </w:rPr>
        <w:t>.</w:t>
      </w:r>
      <w:r w:rsidR="00363691">
        <w:rPr>
          <w:rFonts w:hint="cs"/>
          <w:rtl/>
        </w:rPr>
        <w:t xml:space="preserve"> شبیه بحثی که پیرامون امر در مقام توهم حظر مطرح است، پیرامون نهی در مقام توهم وجوب نیز مطرح است</w:t>
      </w:r>
      <w:r w:rsidR="00F86D56">
        <w:rPr>
          <w:rFonts w:hint="cs"/>
          <w:rtl/>
        </w:rPr>
        <w:t xml:space="preserve">؛ لذا همانطور که گفته می‌شود امر در مقام توهم حظر، دالّ بر وجوب نیست، گفته می‌شود نهی در مقام توهّم وجوب، دالّ بر حرمت نیست. محقق همدانی فرموده است ازآن‌رو که در جماعت مردان، واجب است، امامِ مرد جلوتر </w:t>
      </w:r>
      <w:r w:rsidR="00A3551D">
        <w:rPr>
          <w:rFonts w:hint="cs"/>
          <w:rtl/>
        </w:rPr>
        <w:t>از</w:t>
      </w:r>
      <w:r w:rsidR="00F86D56">
        <w:rPr>
          <w:rFonts w:hint="cs"/>
          <w:rtl/>
        </w:rPr>
        <w:t xml:space="preserve"> مأمومین بایستد، و جائز نیست هم‌ردیف آنها قرار گیرد، این زمینۀ ذهنی وجود دارد که </w:t>
      </w:r>
      <w:r w:rsidR="00425B4F">
        <w:rPr>
          <w:rFonts w:hint="cs"/>
          <w:rtl/>
        </w:rPr>
        <w:t>در جماعت زنان نیز، امام زن، باید جلوتر از مأمومین بایستد و جائز نیست هم‌ردیف آنها بایستند. این زمینۀ ذهنی سبب می‌شود امر به هم‌ردیف ایستادن یا نهی از جلوتر ایستادن، ظهورشان در الزام را از دست بدهند.</w:t>
      </w:r>
    </w:p>
    <w:p w14:paraId="50596508" w14:textId="56946E2D" w:rsidR="00425B4F" w:rsidRDefault="00425B4F" w:rsidP="000768D9">
      <w:pPr>
        <w:jc w:val="both"/>
        <w:rPr>
          <w:rtl/>
        </w:rPr>
      </w:pPr>
      <w:r>
        <w:rPr>
          <w:rFonts w:hint="cs"/>
          <w:rtl/>
        </w:rPr>
        <w:t xml:space="preserve">محقق خوئی در صدد اشکال به فرمایش محقق همدانی بر آمده و فرموده است: </w:t>
      </w:r>
      <w:r w:rsidRPr="00425B4F">
        <w:rPr>
          <w:color w:val="000080"/>
          <w:rtl/>
        </w:rPr>
        <w:t>و هذا مما لا يمكن المساعدة عليه:أمّا أولًا: لأن السؤال في الصحيحة إنما هو عن أصل مشروعية إمامة المرأة و عدمها و هي إنما وردت لبيان مشروعيتها، و إنما تعرضت لكيفيتها تفضلًا منه و امتناناً، و معه لا مجال للقول بأن الأمر بالوقوف في صفهنّ ورد في مقام توهم الحظر، لأنه لم يسأل عن كيفية الصلاة أصلًا ليتوهّم الحظر أو الوجوب، بل ليس هناك إلّا الجهل بالمشروعية‌</w:t>
      </w:r>
      <w:r w:rsidRPr="00425B4F">
        <w:rPr>
          <w:rFonts w:hint="cs"/>
          <w:color w:val="000080"/>
          <w:rtl/>
        </w:rPr>
        <w:t xml:space="preserve"> </w:t>
      </w:r>
      <w:r w:rsidRPr="00425B4F">
        <w:rPr>
          <w:color w:val="000080"/>
          <w:rtl/>
        </w:rPr>
        <w:t>و كيفية إمامتها، فلا م</w:t>
      </w:r>
      <w:r>
        <w:rPr>
          <w:rFonts w:hint="cs"/>
          <w:color w:val="000080"/>
          <w:rtl/>
        </w:rPr>
        <w:t>ُ</w:t>
      </w:r>
      <w:r w:rsidRPr="00425B4F">
        <w:rPr>
          <w:color w:val="000080"/>
          <w:rtl/>
        </w:rPr>
        <w:t>لز</w:t>
      </w:r>
      <w:r>
        <w:rPr>
          <w:rFonts w:hint="cs"/>
          <w:color w:val="000080"/>
          <w:rtl/>
        </w:rPr>
        <w:t>ِ</w:t>
      </w:r>
      <w:r w:rsidRPr="00425B4F">
        <w:rPr>
          <w:color w:val="000080"/>
          <w:rtl/>
        </w:rPr>
        <w:t>م لصرف ظاهر الأمر و النهي بحملهما على الاستحباب و الكراهة.</w:t>
      </w:r>
      <w:r>
        <w:rPr>
          <w:rFonts w:hint="cs"/>
          <w:color w:val="000080"/>
          <w:rtl/>
        </w:rPr>
        <w:t xml:space="preserve"> </w:t>
      </w:r>
      <w:r w:rsidRPr="00425B4F">
        <w:rPr>
          <w:rFonts w:hint="cs"/>
          <w:color w:val="000000"/>
          <w:rtl/>
        </w:rPr>
        <w:t>(اینک عبارت ایشان را قرائت نموده و توضیحش را در ادامه ذکر خواهیم کرد)</w:t>
      </w:r>
      <w:r>
        <w:rPr>
          <w:rFonts w:hint="cs"/>
          <w:color w:val="000080"/>
          <w:rtl/>
        </w:rPr>
        <w:t xml:space="preserve"> </w:t>
      </w:r>
      <w:r w:rsidRPr="00425B4F">
        <w:rPr>
          <w:color w:val="000080"/>
          <w:rtl/>
        </w:rPr>
        <w:t>و ثانياً: أنّا ذكرنا مراراً أن تلك الأوامر و النواهي ليست ظاهرة في النفسية و المولوية لتحمل على الجواز في مورد توهم الحظر، و إنما هي ظاهرة في الإرشاد إلى الشرطية و المانعية، و عليه فالصحيحة تدل على شرطية وقوف المرأة في صف النساء فتبطل جماعتها بالإخلال بها</w:t>
      </w:r>
      <w:r>
        <w:rPr>
          <w:rtl/>
        </w:rPr>
        <w:t>.</w:t>
      </w:r>
    </w:p>
    <w:p w14:paraId="2C7BBFBC" w14:textId="29426205" w:rsidR="00A52791" w:rsidRDefault="004930E9" w:rsidP="000768D9">
      <w:pPr>
        <w:jc w:val="both"/>
        <w:rPr>
          <w:rtl/>
        </w:rPr>
      </w:pPr>
      <w:r>
        <w:rPr>
          <w:rFonts w:hint="cs"/>
          <w:rtl/>
        </w:rPr>
        <w:t>اشکال دوم ایشان آن است که، بحث امر در مقام توهّم حظر، شرط دیگری نیز دارد مبنی بر آن‌که، امر مزبور، باید مولوی باشد نه ارشادی.</w:t>
      </w:r>
    </w:p>
    <w:p w14:paraId="16F2EF9B" w14:textId="5E431A0A" w:rsidR="004930E9" w:rsidRDefault="00680BB7" w:rsidP="000768D9">
      <w:pPr>
        <w:jc w:val="both"/>
        <w:rPr>
          <w:rtl/>
        </w:rPr>
      </w:pPr>
      <w:r>
        <w:rPr>
          <w:rFonts w:hint="cs"/>
          <w:rtl/>
        </w:rPr>
        <w:t xml:space="preserve">فرمایش محقق خوئی، محلّ تأمل است. به نظر می‌رسد آنان که این بحث را مطرح نموده‌اند، در اوامر ارشادی نیز شبیه نکات موجود در اوامر مولوی را مطرح کنند. همانطور که می‌توان امر در مقام توهّم حظر را موضوع سخن قرار داد، می‌توان امر در مقام توهم مانعیّت را نیز موضوع سخن قرار داد. </w:t>
      </w:r>
      <w:r w:rsidR="001B3510">
        <w:rPr>
          <w:rFonts w:hint="cs"/>
          <w:rtl/>
        </w:rPr>
        <w:t xml:space="preserve">آن‌گاه که یک امر ارشادی در مقام توهّم مانعیّت صادر می‌شود، این پرسش مجال می‌یابد که آیا امر ارشادی مزبور، </w:t>
      </w:r>
      <w:r w:rsidR="001B3510">
        <w:rPr>
          <w:rFonts w:hint="cs"/>
          <w:rtl/>
        </w:rPr>
        <w:lastRenderedPageBreak/>
        <w:t>ظهورش</w:t>
      </w:r>
      <w:r w:rsidR="008A7DDA">
        <w:rPr>
          <w:rFonts w:hint="cs"/>
          <w:rtl/>
        </w:rPr>
        <w:t xml:space="preserve"> در شرطیت متعلّق</w:t>
      </w:r>
      <w:r w:rsidR="001B3510">
        <w:rPr>
          <w:rFonts w:hint="cs"/>
          <w:rtl/>
        </w:rPr>
        <w:t xml:space="preserve"> را از دست می‌دهد یا خیر؟</w:t>
      </w:r>
      <w:r w:rsidR="008A7DDA">
        <w:rPr>
          <w:rFonts w:hint="cs"/>
          <w:rtl/>
        </w:rPr>
        <w:t xml:space="preserve"> فرض آن است که امر ارشادی در امثال عبادات، ظاهر در آن است که متعلق امر، شرط صحت عبادت است.</w:t>
      </w:r>
      <w:r w:rsidR="0045382D">
        <w:rPr>
          <w:rFonts w:hint="cs"/>
          <w:rtl/>
        </w:rPr>
        <w:t xml:space="preserve"> برای مثال «صلّوا بالوضوء» ظاهر در آن است که وضو، شرط صحّت نماز است. پرسش آن است که اگر شیء مورد نظر، زمینه‌دار مانعیّت باشد و توهّم مانعیّتش برود، آیا وقوع امر در مقام توهّم مانعیّت سبب می‌شود ظهور امر در شرطیت، رنگ ببازد یا خیر؟ برای مثال اگر گفته شود «صلّوا فی الثوب النجس» آیا می‌توان گفت نماز خواندن در لباس نجس شرط صحت نماز است، یا توهّم مانعیّت لباس نجس، سبب می‌شود امر به نماز در لباس نجس، صرفاً دالّ بر </w:t>
      </w:r>
      <w:r w:rsidR="00413666">
        <w:rPr>
          <w:rFonts w:hint="cs"/>
          <w:rtl/>
        </w:rPr>
        <w:t>مانع نبودن لباس نجس باشد؟ به نظر می‌رسد همان نکته‌ای که سبب می‌شود امر مولوی در مقام توهم حظر منزلگاه بحث قرار گیرد، سبب می‌شود امر ارشادی در مقام توهم مانعیّـت نیز، مورد بحث قرار گیرد.</w:t>
      </w:r>
    </w:p>
    <w:p w14:paraId="572F994B" w14:textId="4AF4D191" w:rsidR="00355D94" w:rsidRDefault="00413666" w:rsidP="000768D9">
      <w:pPr>
        <w:jc w:val="both"/>
        <w:rPr>
          <w:rtl/>
        </w:rPr>
      </w:pPr>
      <w:r>
        <w:rPr>
          <w:rFonts w:hint="cs"/>
          <w:rtl/>
        </w:rPr>
        <w:t xml:space="preserve">کوتاه‌سخن آن‌که، به نظر می‌رسد مناط بحث امر در مقام توهم حظر، در امر ارشادی نیز فراهم است، هر چند </w:t>
      </w:r>
      <w:r w:rsidR="00355D94">
        <w:rPr>
          <w:rFonts w:hint="cs"/>
          <w:rtl/>
        </w:rPr>
        <w:t xml:space="preserve">از جهت شیوۀ طرح بحث، </w:t>
      </w:r>
      <w:r>
        <w:rPr>
          <w:rFonts w:hint="cs"/>
          <w:rtl/>
        </w:rPr>
        <w:t>میان امر مولوی و امر ارشادی قدری تفاوت وجود دارد.</w:t>
      </w:r>
      <w:r w:rsidR="00355D94">
        <w:rPr>
          <w:rFonts w:hint="cs"/>
          <w:rtl/>
        </w:rPr>
        <w:t xml:space="preserve"> شیوۀ طرح بحث در اوامر ارشادی، بدین شکل است که اگر در جایی توهّم مانعیّت برود، آیا توهّم مانعیّت سبب می‌شود، ظهور امر در شرطیّت از بین برود و صرفاً در عدم مانعیّت ظهور پیدا کند، یا چنین نبوده و ظهورش در شرطیّت همچنان پابرجاست؟ پس اشکال</w:t>
      </w:r>
      <w:r w:rsidR="00A3551D">
        <w:rPr>
          <w:rFonts w:hint="cs"/>
          <w:rtl/>
        </w:rPr>
        <w:t xml:space="preserve"> دوم</w:t>
      </w:r>
      <w:r w:rsidR="00355D94">
        <w:rPr>
          <w:rFonts w:hint="cs"/>
          <w:rtl/>
        </w:rPr>
        <w:t xml:space="preserve"> محقق خوئی بی‌وجه است.</w:t>
      </w:r>
    </w:p>
    <w:p w14:paraId="00F6EB3E" w14:textId="6ED7563E" w:rsidR="00355D94" w:rsidRDefault="00355D94" w:rsidP="000768D9">
      <w:pPr>
        <w:jc w:val="both"/>
        <w:rPr>
          <w:rtl/>
        </w:rPr>
      </w:pPr>
      <w:r>
        <w:rPr>
          <w:rFonts w:hint="cs"/>
          <w:rtl/>
        </w:rPr>
        <w:t>محقق خوئی در ادامه اشکال سومی را به فرمایش محقق همدانی مطرح می‌کنند که صحیح به نظر می‌رسد</w:t>
      </w:r>
      <w:r w:rsidR="00A3551D">
        <w:rPr>
          <w:rFonts w:hint="cs"/>
          <w:rtl/>
        </w:rPr>
        <w:t>.</w:t>
      </w:r>
      <w:r w:rsidR="00DF0638">
        <w:rPr>
          <w:rFonts w:hint="cs"/>
          <w:rtl/>
        </w:rPr>
        <w:t xml:space="preserve"> ایشان می‌فرماید نتیجۀ وقوع امر در مقام توهم حظر، جز آن نیست که بر صرف جواز دلالت می‌کند و نه بر استحباب یا کراهت</w:t>
      </w:r>
      <w:r w:rsidR="00BB531F">
        <w:rPr>
          <w:rFonts w:hint="cs"/>
          <w:rtl/>
        </w:rPr>
        <w:t>.</w:t>
      </w:r>
      <w:r w:rsidR="00DF0638">
        <w:rPr>
          <w:rFonts w:hint="cs"/>
          <w:rtl/>
        </w:rPr>
        <w:t xml:space="preserve"> بدین ترتیب مشهور فقهاء که امر به هم‌ردیف ایستادن امام زن با مأمومین را بر استحباب حمل نمودند،</w:t>
      </w:r>
      <w:r w:rsidR="00A3551D">
        <w:rPr>
          <w:rFonts w:hint="cs"/>
          <w:rtl/>
        </w:rPr>
        <w:t xml:space="preserve"> نمی‌توانند وقوع</w:t>
      </w:r>
      <w:r w:rsidR="00DF0638">
        <w:rPr>
          <w:rFonts w:hint="cs"/>
          <w:rtl/>
        </w:rPr>
        <w:t xml:space="preserve"> </w:t>
      </w:r>
      <w:r w:rsidR="00BB531F">
        <w:rPr>
          <w:rFonts w:hint="cs"/>
          <w:rtl/>
        </w:rPr>
        <w:t xml:space="preserve">امر در مقام توهم حظر را دست‌‌آویز </w:t>
      </w:r>
      <w:r w:rsidR="00A3551D">
        <w:rPr>
          <w:rFonts w:hint="cs"/>
          <w:rtl/>
        </w:rPr>
        <w:t xml:space="preserve">فتوای خود </w:t>
      </w:r>
      <w:r w:rsidR="00BB531F">
        <w:rPr>
          <w:rFonts w:hint="cs"/>
          <w:rtl/>
        </w:rPr>
        <w:t>قرار دهند</w:t>
      </w:r>
      <w:r w:rsidR="00DF0638">
        <w:rPr>
          <w:rFonts w:hint="cs"/>
          <w:rtl/>
        </w:rPr>
        <w:t>.</w:t>
      </w:r>
    </w:p>
    <w:p w14:paraId="5825C53F" w14:textId="6D5DD2D9" w:rsidR="00DF0638" w:rsidRDefault="00DF0638" w:rsidP="000768D9">
      <w:pPr>
        <w:jc w:val="both"/>
        <w:rPr>
          <w:rtl/>
        </w:rPr>
      </w:pPr>
      <w:r>
        <w:rPr>
          <w:rFonts w:hint="cs"/>
          <w:rtl/>
        </w:rPr>
        <w:t xml:space="preserve">دوستان را به مراجعه به آدرس‌های ذیل الذکر دعوت می‌کنیم: جلد 17 </w:t>
      </w:r>
      <w:r w:rsidR="00BB531F">
        <w:rPr>
          <w:rFonts w:hint="cs"/>
          <w:rtl/>
        </w:rPr>
        <w:t xml:space="preserve">صفحۀ </w:t>
      </w:r>
      <w:r>
        <w:rPr>
          <w:rFonts w:hint="cs"/>
          <w:rtl/>
        </w:rPr>
        <w:t>290</w:t>
      </w:r>
      <w:r w:rsidR="00BB531F">
        <w:rPr>
          <w:rFonts w:hint="cs"/>
          <w:rtl/>
        </w:rPr>
        <w:t xml:space="preserve"> و</w:t>
      </w:r>
      <w:r>
        <w:rPr>
          <w:rFonts w:hint="cs"/>
          <w:rtl/>
        </w:rPr>
        <w:t xml:space="preserve"> 291</w:t>
      </w:r>
      <w:r w:rsidR="00BB531F">
        <w:rPr>
          <w:rFonts w:hint="cs"/>
          <w:rtl/>
        </w:rPr>
        <w:t>، جلد</w:t>
      </w:r>
      <w:r>
        <w:rPr>
          <w:rFonts w:hint="cs"/>
          <w:rtl/>
        </w:rPr>
        <w:t xml:space="preserve"> 19</w:t>
      </w:r>
      <w:r w:rsidR="00BB531F">
        <w:rPr>
          <w:rFonts w:hint="cs"/>
          <w:rtl/>
        </w:rPr>
        <w:t xml:space="preserve"> صفحۀ</w:t>
      </w:r>
      <w:r>
        <w:rPr>
          <w:rFonts w:hint="cs"/>
          <w:rtl/>
        </w:rPr>
        <w:t xml:space="preserve"> 26</w:t>
      </w:r>
      <w:r w:rsidR="00BB531F">
        <w:rPr>
          <w:rFonts w:hint="cs"/>
          <w:rtl/>
        </w:rPr>
        <w:t>، جلد</w:t>
      </w:r>
      <w:r>
        <w:rPr>
          <w:rFonts w:hint="cs"/>
          <w:rtl/>
        </w:rPr>
        <w:t xml:space="preserve"> 20</w:t>
      </w:r>
      <w:r w:rsidR="00BB531F">
        <w:rPr>
          <w:rFonts w:hint="cs"/>
          <w:rtl/>
        </w:rPr>
        <w:t xml:space="preserve"> صفحۀ</w:t>
      </w:r>
      <w:r>
        <w:rPr>
          <w:rFonts w:hint="cs"/>
          <w:rtl/>
        </w:rPr>
        <w:t xml:space="preserve"> 2</w:t>
      </w:r>
      <w:r w:rsidR="00BB531F">
        <w:rPr>
          <w:rFonts w:hint="cs"/>
          <w:rtl/>
        </w:rPr>
        <w:t>، جلد</w:t>
      </w:r>
      <w:r>
        <w:rPr>
          <w:rFonts w:hint="cs"/>
          <w:rtl/>
        </w:rPr>
        <w:t xml:space="preserve"> 29</w:t>
      </w:r>
      <w:r w:rsidR="00BB531F">
        <w:rPr>
          <w:rFonts w:hint="cs"/>
          <w:rtl/>
        </w:rPr>
        <w:t xml:space="preserve"> صفحۀ</w:t>
      </w:r>
      <w:r>
        <w:rPr>
          <w:rFonts w:hint="cs"/>
          <w:rtl/>
        </w:rPr>
        <w:t xml:space="preserve"> 310</w:t>
      </w:r>
      <w:r w:rsidR="00BB531F">
        <w:rPr>
          <w:rFonts w:hint="cs"/>
          <w:rtl/>
        </w:rPr>
        <w:t xml:space="preserve"> و</w:t>
      </w:r>
      <w:r>
        <w:rPr>
          <w:rFonts w:hint="cs"/>
          <w:rtl/>
        </w:rPr>
        <w:t xml:space="preserve"> 419</w:t>
      </w:r>
      <w:r w:rsidR="00667ED4">
        <w:rPr>
          <w:rFonts w:hint="cs"/>
          <w:rtl/>
        </w:rPr>
        <w:t>. محقق خوئی در این آدرس‌ها، به یک سری نکات اضافه‌ پیرامون بحث امر عقیب حظر اشاره نموده‌اند.</w:t>
      </w:r>
    </w:p>
    <w:p w14:paraId="5B6FD299" w14:textId="5D112533" w:rsidR="009B2C8C" w:rsidRDefault="00BB531F" w:rsidP="000768D9">
      <w:pPr>
        <w:jc w:val="both"/>
        <w:rPr>
          <w:rtl/>
        </w:rPr>
      </w:pPr>
      <w:r>
        <w:rPr>
          <w:rFonts w:hint="cs"/>
          <w:rtl/>
        </w:rPr>
        <w:t xml:space="preserve">ایشان در جلد 25 صفحۀ 130 </w:t>
      </w:r>
      <w:r w:rsidR="00A3551D">
        <w:rPr>
          <w:rFonts w:hint="cs"/>
          <w:rtl/>
        </w:rPr>
        <w:t xml:space="preserve">به </w:t>
      </w:r>
      <w:r>
        <w:rPr>
          <w:rFonts w:hint="cs"/>
          <w:rtl/>
        </w:rPr>
        <w:t>بحث مال مخلوط به حرام پرداخته است. در برخی روایات بیان شده است که مال مخلوط به حرام را صدقه بدهید. محقق همدانی امر به تصدّق در این روایات را در مقام توهم حظر دانسته و بر همین اساس، دلالت آن بر وجوب تعیینی تصدّق را انکار نموده است.</w:t>
      </w:r>
    </w:p>
    <w:p w14:paraId="7303ED06" w14:textId="6AEE3366" w:rsidR="00BB531F" w:rsidRDefault="00BB531F" w:rsidP="000768D9">
      <w:pPr>
        <w:jc w:val="both"/>
        <w:rPr>
          <w:rtl/>
        </w:rPr>
      </w:pPr>
      <w:r>
        <w:rPr>
          <w:rFonts w:hint="cs"/>
          <w:rtl/>
        </w:rPr>
        <w:t xml:space="preserve">محقق همدانی روایت سکونی را پیش کشیده است که در آن گفته شده: </w:t>
      </w:r>
      <w:r w:rsidRPr="00BB531F">
        <w:rPr>
          <w:rtl/>
        </w:rPr>
        <w:t>َ</w:t>
      </w:r>
      <w:r w:rsidRPr="00BB531F">
        <w:rPr>
          <w:rFonts w:hint="cs"/>
          <w:color w:val="008000"/>
          <w:rtl/>
        </w:rPr>
        <w:t>ت</w:t>
      </w:r>
      <w:r w:rsidRPr="00BB531F">
        <w:rPr>
          <w:color w:val="008000"/>
          <w:rtl/>
        </w:rPr>
        <w:t>صَدَّقْ بِخُمُسِ مَالِكَ فَإِنَّ اللَّهَ جَلَّ اسْمُهُ رَضِيَ مِنَ الْأَشْيَاءِ بِالْخُمُسِ وَ سَائِرُ الْأَمْوَالِ لَكَ حَلَال</w:t>
      </w:r>
      <w:r w:rsidRPr="00BB531F">
        <w:rPr>
          <w:rtl/>
        </w:rPr>
        <w:t>‏</w:t>
      </w:r>
      <w:r>
        <w:rPr>
          <w:rFonts w:hint="cs"/>
          <w:rtl/>
        </w:rPr>
        <w:t>.</w:t>
      </w:r>
      <w:r>
        <w:rPr>
          <w:rStyle w:val="FootnoteReference"/>
          <w:rtl/>
        </w:rPr>
        <w:footnoteReference w:id="5"/>
      </w:r>
      <w:r>
        <w:rPr>
          <w:rFonts w:hint="cs"/>
          <w:rtl/>
        </w:rPr>
        <w:t xml:space="preserve"> محقق همدانی فرموده است: </w:t>
      </w:r>
      <w:r w:rsidRPr="00BB531F">
        <w:rPr>
          <w:color w:val="000080"/>
          <w:rtl/>
        </w:rPr>
        <w:t>و أمّا رواية السكوني فهي أيضاً غير ظاهرة في الوجوب التعييني، إذ هي في مقام دفع توهّم الحظر من أجل تخيّل عدم جواز التصرّف في مال الغير حتى بنحو التصدّق عن صاحبه، فغاية ما هناك أنّها ظاهرة في الجواز و أنّه يجوز الاكتفاء بالتصدق بمقدار الخمس من غير أن يتعيّن في ذلك، بل يجوز التخلّص بالتصدّق بنحوٍ آخر حسبما عرفت آنفاً. فبالنتيجة هو مخيّر بين الأمرين</w:t>
      </w:r>
      <w:r w:rsidRPr="00BB531F">
        <w:rPr>
          <w:rtl/>
        </w:rPr>
        <w:t>.</w:t>
      </w:r>
      <w:r w:rsidR="004170D1">
        <w:rPr>
          <w:rFonts w:hint="cs"/>
          <w:rtl/>
        </w:rPr>
        <w:t xml:space="preserve"> ایشان می‌فرماید ازآن‌رو که روایت سکونی در مقام دفع توهم حظر است، با روایات دیگری که گونه‌ای دیگر از تصدّق را تجویز نموده، تنافی نداشته و حکم مسأله تخییر است.</w:t>
      </w:r>
    </w:p>
    <w:p w14:paraId="78D48F4B" w14:textId="0D7B80BC" w:rsidR="004170D1" w:rsidRDefault="004170D1" w:rsidP="000768D9">
      <w:pPr>
        <w:jc w:val="both"/>
        <w:rPr>
          <w:rtl/>
        </w:rPr>
      </w:pPr>
      <w:r>
        <w:rPr>
          <w:rFonts w:hint="cs"/>
          <w:rtl/>
        </w:rPr>
        <w:t xml:space="preserve">محقّق خوئی امّا، فرمایش محقق همدانی را برنتافته و در اشکال به آن چنین فرموده است: </w:t>
      </w:r>
      <w:r w:rsidRPr="004170D1">
        <w:rPr>
          <w:color w:val="000080"/>
          <w:rtl/>
        </w:rPr>
        <w:t xml:space="preserve">أمّا ما ادّعاه في رواية السكوني من ورود الأمر فيها موقع توهّم الحظر فليس الأمر كذلك بحيث يمنع عن ظهور الأمر في الوجوب، فإنّ‌ التصدّق بمال الغير و إن كان حراماً لكن ليس كلّ‌ محرّم </w:t>
      </w:r>
      <w:r w:rsidRPr="004170D1">
        <w:rPr>
          <w:color w:val="000080"/>
          <w:rtl/>
        </w:rPr>
        <w:lastRenderedPageBreak/>
        <w:t>يمنع عن ظهور الأمر المتعلّق به في الوجوب،</w:t>
      </w:r>
      <w:r w:rsidRPr="004170D1">
        <w:rPr>
          <w:rFonts w:hint="cs"/>
          <w:color w:val="000000"/>
          <w:rtl/>
        </w:rPr>
        <w:t>(سپس در مقام توضیح نکتۀ مطلب می‌فرماید:)</w:t>
      </w:r>
      <w:r w:rsidRPr="004170D1">
        <w:rPr>
          <w:color w:val="000080"/>
          <w:rtl/>
        </w:rPr>
        <w:t xml:space="preserve"> فإنّ‌ السؤال هنا عن الوظيفة الفعليّة في مقام تفريغ الذمّة بعد ما كان يعلم السائل بعدم جواز التصرّف، فبيّن الإمام (عليه السلام) كيفيّة التفريغ و أنّه يتحقّق بالتخميس الظاهر بحسب الفهم العرفي في انحصار الوظيفة و تعيّنها في ذلك، فالحمل على الجواز من أجل الورود موقع الحظر خلاف المتفاهم العرفي في أمثال المقام جدّاً كما لا يخفى</w:t>
      </w:r>
      <w:r w:rsidRPr="004170D1">
        <w:rPr>
          <w:rtl/>
        </w:rPr>
        <w:t>.</w:t>
      </w:r>
      <w:r>
        <w:rPr>
          <w:rFonts w:hint="cs"/>
          <w:rtl/>
        </w:rPr>
        <w:t xml:space="preserve"> ابن عبارت سوم محقق خوئی است که فهم آن نیازمند دقّت است. ایشان چه ضابطۀ دیگری را برای طرح بحث امر در مقام توهم حظر </w:t>
      </w:r>
      <w:r w:rsidR="00A3551D">
        <w:rPr>
          <w:rFonts w:hint="cs"/>
          <w:rtl/>
        </w:rPr>
        <w:t>در نظر داشته</w:t>
      </w:r>
      <w:r>
        <w:rPr>
          <w:rFonts w:hint="cs"/>
          <w:rtl/>
        </w:rPr>
        <w:t xml:space="preserve"> است؟ به باور ایشان، چنین نیست که هر گاه توهّم حظر مطرح باشد، ظهور امر در وجوب رنگ ببازد. حال باید دید ایشان چه ضابطه‌ای را در نظر داشته است.</w:t>
      </w:r>
    </w:p>
    <w:p w14:paraId="7BE2C058" w14:textId="40A44BA5" w:rsidR="004170D1" w:rsidRDefault="004170D1" w:rsidP="000768D9">
      <w:pPr>
        <w:jc w:val="both"/>
        <w:rPr>
          <w:rtl/>
        </w:rPr>
      </w:pPr>
      <w:r>
        <w:rPr>
          <w:rFonts w:hint="cs"/>
          <w:rtl/>
        </w:rPr>
        <w:t xml:space="preserve">با جست‌وجوی واژۀ «حظر» در کلمات اندیشمندان، خواهید دید که این واژه در کلمات قدماء، عمدتاً به بحث‌هایی همچون اصالة الحظر و حظر به معنای منع </w:t>
      </w:r>
      <w:r w:rsidR="000C5A70">
        <w:rPr>
          <w:rFonts w:hint="cs"/>
          <w:rtl/>
        </w:rPr>
        <w:t>مربوط است</w:t>
      </w:r>
      <w:r>
        <w:rPr>
          <w:rFonts w:hint="cs"/>
          <w:rtl/>
        </w:rPr>
        <w:t xml:space="preserve"> و به بحث کنونی ارتباطی ندارد؛ </w:t>
      </w:r>
      <w:r w:rsidR="000C5A70">
        <w:rPr>
          <w:rFonts w:hint="cs"/>
          <w:rtl/>
        </w:rPr>
        <w:t xml:space="preserve">بر خلاف محقق خوئی که مثلاً از حدود 30 موردی که واژۀ حظر </w:t>
      </w:r>
      <w:r w:rsidR="00A3551D">
        <w:rPr>
          <w:rFonts w:hint="cs"/>
          <w:rtl/>
        </w:rPr>
        <w:t xml:space="preserve">را </w:t>
      </w:r>
      <w:r w:rsidR="000C5A70">
        <w:rPr>
          <w:rFonts w:hint="cs"/>
          <w:rtl/>
        </w:rPr>
        <w:t xml:space="preserve">به کار </w:t>
      </w:r>
      <w:r w:rsidR="00A3551D">
        <w:rPr>
          <w:rFonts w:hint="cs"/>
          <w:rtl/>
        </w:rPr>
        <w:t>برده</w:t>
      </w:r>
      <w:r w:rsidR="000C5A70">
        <w:rPr>
          <w:rFonts w:hint="cs"/>
          <w:rtl/>
        </w:rPr>
        <w:t>، حدود 27یا 28 موردش دقیقاً به همین بحث مرتبط است. ایشان در شمار زیادی از موارد نیز، با دست‌آویز قرار دادن توهّم حظر، از ظهور امر در وجوب دست شسته و آن را دالّ بر جواز عمل دانسته‌اند.</w:t>
      </w:r>
    </w:p>
    <w:p w14:paraId="6B17CB71" w14:textId="33748FB9" w:rsidR="000C5A70" w:rsidRDefault="000C5A70" w:rsidP="000768D9">
      <w:pPr>
        <w:jc w:val="both"/>
        <w:rPr>
          <w:rtl/>
        </w:rPr>
      </w:pPr>
      <w:r>
        <w:rPr>
          <w:rFonts w:hint="cs"/>
          <w:rtl/>
        </w:rPr>
        <w:t>باید به آدرس‌هایی که از کلمات محقق خوئی ذکر کردیم مراجعه شود تا روشن شود محلّ بحث امر در مقام توهّم حظر دقیقاً کجا است و چه ضابطه‌ای دارد.</w:t>
      </w:r>
    </w:p>
    <w:p w14:paraId="24EBBE11" w14:textId="7555AB3A" w:rsidR="000C5A70" w:rsidRDefault="000C5A70" w:rsidP="000768D9">
      <w:pPr>
        <w:jc w:val="both"/>
        <w:rPr>
          <w:rtl/>
        </w:rPr>
      </w:pPr>
      <w:r>
        <w:rPr>
          <w:rFonts w:hint="cs"/>
          <w:rtl/>
        </w:rPr>
        <w:t xml:space="preserve">گفتنی است، مرحوم میرزای شیرازی نیز، در تقریراتشان بحث پردامنه‌ای را در تبیین صورت‌مسأله و ضابطۀ آن مطرح نموده‌اند. ولی سخنان ایشان عمدتاً پیرامون امری است که عقیب حظر واقع می‌شود نه امری که در مقام توهّم حظر واقع </w:t>
      </w:r>
      <w:r w:rsidR="00A3551D">
        <w:rPr>
          <w:rFonts w:hint="cs"/>
          <w:rtl/>
        </w:rPr>
        <w:t>می‌گردد</w:t>
      </w:r>
      <w:r>
        <w:rPr>
          <w:rFonts w:hint="cs"/>
          <w:rtl/>
        </w:rPr>
        <w:t>. شایان ذکر است، از میان این دو بحث، بحث امر واقع عقیب حظر مصداق چندانی ندارد؛ بر خلاف بحث امر در مقام توهّم حظر که مثال‌هایش بسیار است و در مباحث فقهی نیز اثرگذارتر است.</w:t>
      </w:r>
    </w:p>
    <w:p w14:paraId="2C9F2DEB" w14:textId="4014AC66" w:rsidR="000C5A70" w:rsidRDefault="000C5A70" w:rsidP="000768D9">
      <w:pPr>
        <w:jc w:val="both"/>
        <w:rPr>
          <w:rtl/>
        </w:rPr>
      </w:pPr>
      <w:r w:rsidRPr="000C5A70">
        <w:rPr>
          <w:rFonts w:hint="cs"/>
          <w:b/>
          <w:bCs/>
          <w:rtl/>
        </w:rPr>
        <w:t>شاگرد</w:t>
      </w:r>
      <w:r>
        <w:rPr>
          <w:rFonts w:hint="cs"/>
          <w:rtl/>
        </w:rPr>
        <w:t>: آیا محقق خوئی این بحث را به شکل یکپارچه بحث نموده‌اند؟</w:t>
      </w:r>
    </w:p>
    <w:p w14:paraId="0AD27009" w14:textId="736BD330" w:rsidR="000C5A70" w:rsidRDefault="000C5A70" w:rsidP="000768D9">
      <w:pPr>
        <w:jc w:val="both"/>
        <w:rPr>
          <w:rtl/>
        </w:rPr>
      </w:pPr>
      <w:r w:rsidRPr="005F63D6">
        <w:rPr>
          <w:rFonts w:hint="cs"/>
          <w:b/>
          <w:bCs/>
          <w:rtl/>
        </w:rPr>
        <w:t>استاد</w:t>
      </w:r>
      <w:r>
        <w:rPr>
          <w:rFonts w:hint="cs"/>
          <w:rtl/>
        </w:rPr>
        <w:t xml:space="preserve">: بحث اصولی ایشان یکپارچه است. ولی در میانۀ بحث‌های فقهی ایشان نکات اضافی وجود دارد که در بحث‌ اصولی </w:t>
      </w:r>
      <w:r w:rsidR="005F63D6">
        <w:rPr>
          <w:rFonts w:hint="cs"/>
          <w:rtl/>
        </w:rPr>
        <w:t>ازهیچ‌رو مورد توجّه نیست.</w:t>
      </w:r>
    </w:p>
    <w:p w14:paraId="18A997E5" w14:textId="7E085352" w:rsidR="005F63D6" w:rsidRDefault="005F63D6" w:rsidP="000768D9">
      <w:pPr>
        <w:jc w:val="both"/>
        <w:rPr>
          <w:rtl/>
        </w:rPr>
      </w:pPr>
      <w:r w:rsidRPr="005F63D6">
        <w:rPr>
          <w:rFonts w:hint="cs"/>
          <w:b/>
          <w:bCs/>
          <w:rtl/>
        </w:rPr>
        <w:t>شاگرد</w:t>
      </w:r>
      <w:r>
        <w:rPr>
          <w:rFonts w:hint="cs"/>
          <w:rtl/>
        </w:rPr>
        <w:t>: گویا در بحث اصولی میان امری که عقیب حظر است و امری که در مقام توهم حظر است، تفکیک نشده است.</w:t>
      </w:r>
    </w:p>
    <w:p w14:paraId="38BE2C67" w14:textId="1C9EB7C0" w:rsidR="005F63D6" w:rsidRPr="00A3551D" w:rsidRDefault="005F63D6" w:rsidP="00A3551D">
      <w:pPr>
        <w:jc w:val="both"/>
        <w:rPr>
          <w:rFonts w:asciiTheme="minorHAnsi" w:hAnsiTheme="minorHAnsi"/>
        </w:rPr>
      </w:pPr>
      <w:r w:rsidRPr="005F63D6">
        <w:rPr>
          <w:rFonts w:hint="cs"/>
          <w:b/>
          <w:bCs/>
          <w:rtl/>
        </w:rPr>
        <w:t>استاد</w:t>
      </w:r>
      <w:r>
        <w:rPr>
          <w:rFonts w:hint="cs"/>
          <w:rtl/>
        </w:rPr>
        <w:t>: بله؛ این دو بحث را به صورت یکپارچه دنبال کرده‌اند. برای مثال برخی اندیشمندان گفته‌اند «الامر الواقع عقیب الحظر ولو موهوماً لا یدل علی الوجوب».</w:t>
      </w:r>
      <w:r>
        <w:rPr>
          <w:rFonts w:asciiTheme="minorHAnsi" w:hAnsiTheme="minorHAnsi" w:hint="cs"/>
          <w:rtl/>
        </w:rPr>
        <w:t xml:space="preserve"> ملّا حبیب الله کاشانی در موضعی از کلماتشان، این مطلب را به عنوان یک قاعده ذکر می‌کنند.</w:t>
      </w:r>
    </w:p>
    <w:sectPr w:rsidR="005F63D6" w:rsidRPr="00A3551D" w:rsidSect="00B445D6">
      <w:footerReference w:type="default" r:id="rId8"/>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Badr">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E145CA" w:rsidRPr="00E145CA">
            <w:rPr>
              <w:noProof/>
              <w:rtl/>
              <w:lang w:val="fa-IR"/>
            </w:rPr>
            <w:t>1</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10" w:name="BokAdres"/>
          <w:bookmarkEnd w:id="10"/>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04014E6E" w14:textId="7EA7DE5B" w:rsidR="00961F3E" w:rsidRDefault="00961F3E">
      <w:pPr>
        <w:pStyle w:val="FootnoteText"/>
      </w:pPr>
      <w:r>
        <w:rPr>
          <w:rStyle w:val="FootnoteReference"/>
        </w:rPr>
        <w:footnoteRef/>
      </w:r>
      <w:r>
        <w:rPr>
          <w:rtl/>
        </w:rPr>
        <w:t xml:space="preserve"> </w:t>
      </w:r>
      <w:r w:rsidRPr="00961F3E">
        <w:rPr>
          <w:rtl/>
        </w:rPr>
        <w:t>المائدة : 2</w:t>
      </w:r>
    </w:p>
  </w:footnote>
  <w:footnote w:id="2">
    <w:p w14:paraId="7E50597D" w14:textId="3D1C84EF" w:rsidR="00F42D30" w:rsidRDefault="00F42D30">
      <w:pPr>
        <w:pStyle w:val="FootnoteText"/>
      </w:pPr>
      <w:r>
        <w:rPr>
          <w:rStyle w:val="FootnoteReference"/>
        </w:rPr>
        <w:footnoteRef/>
      </w:r>
      <w:r>
        <w:rPr>
          <w:rtl/>
        </w:rPr>
        <w:t xml:space="preserve"> </w:t>
      </w:r>
      <w:r w:rsidRPr="00F42D30">
        <w:rPr>
          <w:rtl/>
        </w:rPr>
        <w:t>المائدة : 95</w:t>
      </w:r>
    </w:p>
  </w:footnote>
  <w:footnote w:id="3">
    <w:p w14:paraId="5E1FA5CC" w14:textId="77777777" w:rsidR="00B30758" w:rsidRDefault="00B30758" w:rsidP="00B30758">
      <w:pPr>
        <w:pStyle w:val="FootnoteText"/>
      </w:pPr>
      <w:r>
        <w:rPr>
          <w:rStyle w:val="FootnoteReference"/>
        </w:rPr>
        <w:footnoteRef/>
      </w:r>
      <w:r>
        <w:rPr>
          <w:rtl/>
        </w:rPr>
        <w:t xml:space="preserve"> </w:t>
      </w:r>
      <w:r w:rsidRPr="00961F3E">
        <w:rPr>
          <w:rtl/>
        </w:rPr>
        <w:t>المائدة : 2</w:t>
      </w:r>
    </w:p>
  </w:footnote>
  <w:footnote w:id="4">
    <w:p w14:paraId="263C4683" w14:textId="47ACB5D9" w:rsidR="00213CE5" w:rsidRDefault="00213CE5" w:rsidP="00213CE5">
      <w:pPr>
        <w:pStyle w:val="FootnoteText"/>
        <w:rPr>
          <w:rtl/>
        </w:rPr>
      </w:pPr>
      <w:r>
        <w:rPr>
          <w:rStyle w:val="FootnoteReference"/>
        </w:rPr>
        <w:footnoteRef/>
      </w:r>
      <w:r>
        <w:rPr>
          <w:rtl/>
        </w:rPr>
        <w:t xml:space="preserve"> </w:t>
      </w:r>
      <w:r w:rsidRPr="00213CE5">
        <w:rPr>
          <w:rFonts w:hint="cs"/>
          <w:rtl/>
        </w:rPr>
        <w:t>تهذيب الأحكام (تحقيق خرسان)، ج‏3، ص: 206</w:t>
      </w:r>
      <w:r>
        <w:rPr>
          <w:rFonts w:hint="cs"/>
          <w:rtl/>
        </w:rPr>
        <w:t>، ح477.</w:t>
      </w:r>
    </w:p>
  </w:footnote>
  <w:footnote w:id="5">
    <w:p w14:paraId="3A0393E3" w14:textId="689FECBC" w:rsidR="00BB531F" w:rsidRDefault="00BB531F" w:rsidP="00BB531F">
      <w:pPr>
        <w:pStyle w:val="FootnoteText"/>
      </w:pPr>
      <w:r>
        <w:rPr>
          <w:rStyle w:val="FootnoteReference"/>
        </w:rPr>
        <w:footnoteRef/>
      </w:r>
      <w:r>
        <w:rPr>
          <w:rtl/>
        </w:rPr>
        <w:t xml:space="preserve"> </w:t>
      </w:r>
      <w:r w:rsidRPr="00BB531F">
        <w:rPr>
          <w:rFonts w:hint="cs"/>
          <w:rtl/>
        </w:rPr>
        <w:t>الكافي (ط - الإسلامية)، ج‏5، ص: 125</w:t>
      </w:r>
      <w:r>
        <w:rPr>
          <w:rFonts w:hint="cs"/>
          <w:rtl/>
        </w:rPr>
        <w:t>، ح5.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25"/>
  </w:num>
  <w:num w:numId="14">
    <w:abstractNumId w:val="18"/>
  </w:num>
  <w:num w:numId="15">
    <w:abstractNumId w:val="19"/>
  </w:num>
  <w:num w:numId="16">
    <w:abstractNumId w:val="20"/>
  </w:num>
  <w:num w:numId="17">
    <w:abstractNumId w:val="16"/>
  </w:num>
  <w:num w:numId="18">
    <w:abstractNumId w:val="23"/>
  </w:num>
  <w:num w:numId="19">
    <w:abstractNumId w:val="11"/>
  </w:num>
  <w:num w:numId="20">
    <w:abstractNumId w:val="22"/>
  </w:num>
  <w:num w:numId="21">
    <w:abstractNumId w:val="14"/>
  </w:num>
  <w:num w:numId="22">
    <w:abstractNumId w:val="12"/>
  </w:num>
  <w:num w:numId="23">
    <w:abstractNumId w:val="15"/>
  </w:num>
  <w:num w:numId="24">
    <w:abstractNumId w:val="17"/>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3F6F"/>
    <w:rsid w:val="000072A3"/>
    <w:rsid w:val="000076FA"/>
    <w:rsid w:val="00010C03"/>
    <w:rsid w:val="00013676"/>
    <w:rsid w:val="000204D9"/>
    <w:rsid w:val="00022230"/>
    <w:rsid w:val="00024614"/>
    <w:rsid w:val="00025777"/>
    <w:rsid w:val="00025A7C"/>
    <w:rsid w:val="0002764C"/>
    <w:rsid w:val="00030A9E"/>
    <w:rsid w:val="00031159"/>
    <w:rsid w:val="0003305D"/>
    <w:rsid w:val="00033AA7"/>
    <w:rsid w:val="000345E8"/>
    <w:rsid w:val="00034E40"/>
    <w:rsid w:val="000353D7"/>
    <w:rsid w:val="00035626"/>
    <w:rsid w:val="00035DCB"/>
    <w:rsid w:val="00036A43"/>
    <w:rsid w:val="000403BB"/>
    <w:rsid w:val="00040870"/>
    <w:rsid w:val="000415BE"/>
    <w:rsid w:val="00041AE1"/>
    <w:rsid w:val="00041B59"/>
    <w:rsid w:val="0004213E"/>
    <w:rsid w:val="00042299"/>
    <w:rsid w:val="0004559D"/>
    <w:rsid w:val="0004742E"/>
    <w:rsid w:val="0004752A"/>
    <w:rsid w:val="00051D34"/>
    <w:rsid w:val="00053038"/>
    <w:rsid w:val="0005384B"/>
    <w:rsid w:val="00054973"/>
    <w:rsid w:val="000554A0"/>
    <w:rsid w:val="00057D42"/>
    <w:rsid w:val="00060587"/>
    <w:rsid w:val="000635BF"/>
    <w:rsid w:val="00064B50"/>
    <w:rsid w:val="0006502D"/>
    <w:rsid w:val="0007106B"/>
    <w:rsid w:val="000711D6"/>
    <w:rsid w:val="00072613"/>
    <w:rsid w:val="000740FA"/>
    <w:rsid w:val="00076633"/>
    <w:rsid w:val="000768D9"/>
    <w:rsid w:val="00076970"/>
    <w:rsid w:val="000800D9"/>
    <w:rsid w:val="000807EA"/>
    <w:rsid w:val="00080953"/>
    <w:rsid w:val="00080A19"/>
    <w:rsid w:val="00080A41"/>
    <w:rsid w:val="00082016"/>
    <w:rsid w:val="00082917"/>
    <w:rsid w:val="0008299B"/>
    <w:rsid w:val="00085798"/>
    <w:rsid w:val="00086103"/>
    <w:rsid w:val="00087339"/>
    <w:rsid w:val="00087A96"/>
    <w:rsid w:val="000913AA"/>
    <w:rsid w:val="0009209B"/>
    <w:rsid w:val="000928F2"/>
    <w:rsid w:val="00093428"/>
    <w:rsid w:val="00094A8D"/>
    <w:rsid w:val="000951D0"/>
    <w:rsid w:val="00096392"/>
    <w:rsid w:val="000A0C77"/>
    <w:rsid w:val="000A252B"/>
    <w:rsid w:val="000A2A00"/>
    <w:rsid w:val="000B31DE"/>
    <w:rsid w:val="000B335D"/>
    <w:rsid w:val="000B37C1"/>
    <w:rsid w:val="000B3AE1"/>
    <w:rsid w:val="000B3FD7"/>
    <w:rsid w:val="000B5DB5"/>
    <w:rsid w:val="000B6F58"/>
    <w:rsid w:val="000B7322"/>
    <w:rsid w:val="000B7490"/>
    <w:rsid w:val="000B7914"/>
    <w:rsid w:val="000C1E26"/>
    <w:rsid w:val="000C33B1"/>
    <w:rsid w:val="000C3947"/>
    <w:rsid w:val="000C3CE7"/>
    <w:rsid w:val="000C43FF"/>
    <w:rsid w:val="000C51B0"/>
    <w:rsid w:val="000C58AB"/>
    <w:rsid w:val="000C5A70"/>
    <w:rsid w:val="000C7412"/>
    <w:rsid w:val="000D085B"/>
    <w:rsid w:val="000D0E10"/>
    <w:rsid w:val="000D1784"/>
    <w:rsid w:val="000D1B20"/>
    <w:rsid w:val="000D30E9"/>
    <w:rsid w:val="000D63E1"/>
    <w:rsid w:val="000D6818"/>
    <w:rsid w:val="000D6A35"/>
    <w:rsid w:val="000E0786"/>
    <w:rsid w:val="000E17AF"/>
    <w:rsid w:val="000E335E"/>
    <w:rsid w:val="000E35BA"/>
    <w:rsid w:val="000E68C4"/>
    <w:rsid w:val="000F16CF"/>
    <w:rsid w:val="000F1CE4"/>
    <w:rsid w:val="000F3351"/>
    <w:rsid w:val="000F3A9A"/>
    <w:rsid w:val="000F3D2B"/>
    <w:rsid w:val="000F3FA1"/>
    <w:rsid w:val="000F5BAC"/>
    <w:rsid w:val="000F5FF1"/>
    <w:rsid w:val="00100DF1"/>
    <w:rsid w:val="00101A04"/>
    <w:rsid w:val="001028E9"/>
    <w:rsid w:val="001029D9"/>
    <w:rsid w:val="00102B30"/>
    <w:rsid w:val="00104D0F"/>
    <w:rsid w:val="00105037"/>
    <w:rsid w:val="00105744"/>
    <w:rsid w:val="001071FA"/>
    <w:rsid w:val="001075E1"/>
    <w:rsid w:val="0011005B"/>
    <w:rsid w:val="001148AF"/>
    <w:rsid w:val="00114A1D"/>
    <w:rsid w:val="00116988"/>
    <w:rsid w:val="00116B2B"/>
    <w:rsid w:val="00120E95"/>
    <w:rsid w:val="001228CD"/>
    <w:rsid w:val="00122C9D"/>
    <w:rsid w:val="00124589"/>
    <w:rsid w:val="00124E3D"/>
    <w:rsid w:val="00125077"/>
    <w:rsid w:val="00126AC6"/>
    <w:rsid w:val="00127E95"/>
    <w:rsid w:val="00130659"/>
    <w:rsid w:val="00132680"/>
    <w:rsid w:val="001347C7"/>
    <w:rsid w:val="00134912"/>
    <w:rsid w:val="001356B0"/>
    <w:rsid w:val="0013663C"/>
    <w:rsid w:val="001372C1"/>
    <w:rsid w:val="00137DEA"/>
    <w:rsid w:val="00140644"/>
    <w:rsid w:val="0014089E"/>
    <w:rsid w:val="00141D09"/>
    <w:rsid w:val="001459FB"/>
    <w:rsid w:val="00146AD1"/>
    <w:rsid w:val="001503F3"/>
    <w:rsid w:val="00151937"/>
    <w:rsid w:val="00152868"/>
    <w:rsid w:val="00154048"/>
    <w:rsid w:val="00154286"/>
    <w:rsid w:val="00154E50"/>
    <w:rsid w:val="001567F9"/>
    <w:rsid w:val="00156CA1"/>
    <w:rsid w:val="00157682"/>
    <w:rsid w:val="00160912"/>
    <w:rsid w:val="00163274"/>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3C1"/>
    <w:rsid w:val="00191F76"/>
    <w:rsid w:val="00193CC6"/>
    <w:rsid w:val="001A10C2"/>
    <w:rsid w:val="001A1EA5"/>
    <w:rsid w:val="001A2359"/>
    <w:rsid w:val="001A2574"/>
    <w:rsid w:val="001A26BF"/>
    <w:rsid w:val="001A27D7"/>
    <w:rsid w:val="001A294E"/>
    <w:rsid w:val="001A4ED8"/>
    <w:rsid w:val="001A7A4C"/>
    <w:rsid w:val="001A7F0F"/>
    <w:rsid w:val="001B033C"/>
    <w:rsid w:val="001B07B7"/>
    <w:rsid w:val="001B192B"/>
    <w:rsid w:val="001B3510"/>
    <w:rsid w:val="001B5CE7"/>
    <w:rsid w:val="001B6799"/>
    <w:rsid w:val="001C1362"/>
    <w:rsid w:val="001C3EE5"/>
    <w:rsid w:val="001C406C"/>
    <w:rsid w:val="001C570B"/>
    <w:rsid w:val="001C67C3"/>
    <w:rsid w:val="001C7799"/>
    <w:rsid w:val="001D0E04"/>
    <w:rsid w:val="001D2A98"/>
    <w:rsid w:val="001D2E9A"/>
    <w:rsid w:val="001D597F"/>
    <w:rsid w:val="001D5B01"/>
    <w:rsid w:val="001D7BD3"/>
    <w:rsid w:val="001E19D9"/>
    <w:rsid w:val="001E1F57"/>
    <w:rsid w:val="001E30DB"/>
    <w:rsid w:val="001E3FD4"/>
    <w:rsid w:val="001E51FD"/>
    <w:rsid w:val="001E5A1B"/>
    <w:rsid w:val="001E64DA"/>
    <w:rsid w:val="001E6BBE"/>
    <w:rsid w:val="001E7DC9"/>
    <w:rsid w:val="001F1FAF"/>
    <w:rsid w:val="001F2A39"/>
    <w:rsid w:val="0020241A"/>
    <w:rsid w:val="00203821"/>
    <w:rsid w:val="00203CA8"/>
    <w:rsid w:val="00210A5A"/>
    <w:rsid w:val="0021204F"/>
    <w:rsid w:val="00213A2A"/>
    <w:rsid w:val="00213AE6"/>
    <w:rsid w:val="00213CE5"/>
    <w:rsid w:val="002143FB"/>
    <w:rsid w:val="00216258"/>
    <w:rsid w:val="0021630D"/>
    <w:rsid w:val="0021743A"/>
    <w:rsid w:val="00220013"/>
    <w:rsid w:val="00222E3F"/>
    <w:rsid w:val="00223685"/>
    <w:rsid w:val="0022494F"/>
    <w:rsid w:val="00225281"/>
    <w:rsid w:val="00225B7D"/>
    <w:rsid w:val="00226108"/>
    <w:rsid w:val="002305E6"/>
    <w:rsid w:val="00231AFB"/>
    <w:rsid w:val="00234F8B"/>
    <w:rsid w:val="0023641A"/>
    <w:rsid w:val="00236C31"/>
    <w:rsid w:val="00237C13"/>
    <w:rsid w:val="00240314"/>
    <w:rsid w:val="00241333"/>
    <w:rsid w:val="00244CDA"/>
    <w:rsid w:val="00245DA5"/>
    <w:rsid w:val="00246ACB"/>
    <w:rsid w:val="00247D2F"/>
    <w:rsid w:val="00252604"/>
    <w:rsid w:val="0025311F"/>
    <w:rsid w:val="00253C50"/>
    <w:rsid w:val="00254950"/>
    <w:rsid w:val="00256560"/>
    <w:rsid w:val="00256EA6"/>
    <w:rsid w:val="002608E7"/>
    <w:rsid w:val="00263559"/>
    <w:rsid w:val="00270C0E"/>
    <w:rsid w:val="002717B0"/>
    <w:rsid w:val="00271833"/>
    <w:rsid w:val="002719B3"/>
    <w:rsid w:val="00271A80"/>
    <w:rsid w:val="00271AFD"/>
    <w:rsid w:val="00273075"/>
    <w:rsid w:val="00273B41"/>
    <w:rsid w:val="002748F6"/>
    <w:rsid w:val="0027605E"/>
    <w:rsid w:val="002774D7"/>
    <w:rsid w:val="002779B7"/>
    <w:rsid w:val="00280735"/>
    <w:rsid w:val="00281BC9"/>
    <w:rsid w:val="00281E00"/>
    <w:rsid w:val="00282A1C"/>
    <w:rsid w:val="002833C7"/>
    <w:rsid w:val="00284055"/>
    <w:rsid w:val="0028790D"/>
    <w:rsid w:val="00292748"/>
    <w:rsid w:val="0029291D"/>
    <w:rsid w:val="002936A0"/>
    <w:rsid w:val="00294A52"/>
    <w:rsid w:val="0029533B"/>
    <w:rsid w:val="0029610B"/>
    <w:rsid w:val="00296D1D"/>
    <w:rsid w:val="00296DAC"/>
    <w:rsid w:val="00297741"/>
    <w:rsid w:val="002A0C09"/>
    <w:rsid w:val="002A1762"/>
    <w:rsid w:val="002A3905"/>
    <w:rsid w:val="002A3DEF"/>
    <w:rsid w:val="002A51A0"/>
    <w:rsid w:val="002B0E39"/>
    <w:rsid w:val="002B182B"/>
    <w:rsid w:val="002B322F"/>
    <w:rsid w:val="002B5337"/>
    <w:rsid w:val="002B575F"/>
    <w:rsid w:val="002B5C4E"/>
    <w:rsid w:val="002B66FE"/>
    <w:rsid w:val="002B6CF0"/>
    <w:rsid w:val="002B729B"/>
    <w:rsid w:val="002C101F"/>
    <w:rsid w:val="002C1F94"/>
    <w:rsid w:val="002C53A2"/>
    <w:rsid w:val="002D0040"/>
    <w:rsid w:val="002D0356"/>
    <w:rsid w:val="002D4177"/>
    <w:rsid w:val="002D5F30"/>
    <w:rsid w:val="002E220F"/>
    <w:rsid w:val="002E2CEE"/>
    <w:rsid w:val="002E3BD8"/>
    <w:rsid w:val="002E48C4"/>
    <w:rsid w:val="002E654A"/>
    <w:rsid w:val="002F1D70"/>
    <w:rsid w:val="002F2462"/>
    <w:rsid w:val="002F4A07"/>
    <w:rsid w:val="002F55D7"/>
    <w:rsid w:val="002F5C85"/>
    <w:rsid w:val="00300638"/>
    <w:rsid w:val="00301C9D"/>
    <w:rsid w:val="00301F80"/>
    <w:rsid w:val="00304198"/>
    <w:rsid w:val="003070A5"/>
    <w:rsid w:val="00311D70"/>
    <w:rsid w:val="003147BC"/>
    <w:rsid w:val="00315154"/>
    <w:rsid w:val="00315450"/>
    <w:rsid w:val="003157D1"/>
    <w:rsid w:val="00317456"/>
    <w:rsid w:val="00320445"/>
    <w:rsid w:val="0032100F"/>
    <w:rsid w:val="00326856"/>
    <w:rsid w:val="00326B7A"/>
    <w:rsid w:val="00331213"/>
    <w:rsid w:val="00333654"/>
    <w:rsid w:val="0033402C"/>
    <w:rsid w:val="00335280"/>
    <w:rsid w:val="003366E6"/>
    <w:rsid w:val="003402F5"/>
    <w:rsid w:val="00340521"/>
    <w:rsid w:val="00341ACE"/>
    <w:rsid w:val="003424B1"/>
    <w:rsid w:val="00344A27"/>
    <w:rsid w:val="003455CB"/>
    <w:rsid w:val="00345C73"/>
    <w:rsid w:val="003460B1"/>
    <w:rsid w:val="00346E13"/>
    <w:rsid w:val="0034751B"/>
    <w:rsid w:val="00350293"/>
    <w:rsid w:val="003542FB"/>
    <w:rsid w:val="0035455D"/>
    <w:rsid w:val="00354A99"/>
    <w:rsid w:val="00355D94"/>
    <w:rsid w:val="0035776C"/>
    <w:rsid w:val="00360311"/>
    <w:rsid w:val="00361922"/>
    <w:rsid w:val="00363691"/>
    <w:rsid w:val="00363D23"/>
    <w:rsid w:val="00367186"/>
    <w:rsid w:val="00370DC1"/>
    <w:rsid w:val="003728A4"/>
    <w:rsid w:val="003741A5"/>
    <w:rsid w:val="00377AE9"/>
    <w:rsid w:val="00381A1A"/>
    <w:rsid w:val="003833A7"/>
    <w:rsid w:val="003848D8"/>
    <w:rsid w:val="003869E0"/>
    <w:rsid w:val="003872DC"/>
    <w:rsid w:val="00387EFB"/>
    <w:rsid w:val="00390AF9"/>
    <w:rsid w:val="00397466"/>
    <w:rsid w:val="00397CA1"/>
    <w:rsid w:val="003A04D9"/>
    <w:rsid w:val="003A0F4A"/>
    <w:rsid w:val="003A401D"/>
    <w:rsid w:val="003A6148"/>
    <w:rsid w:val="003A7A48"/>
    <w:rsid w:val="003A7B42"/>
    <w:rsid w:val="003B399F"/>
    <w:rsid w:val="003B3FE7"/>
    <w:rsid w:val="003B5C87"/>
    <w:rsid w:val="003C33F6"/>
    <w:rsid w:val="003C37D7"/>
    <w:rsid w:val="003C3D2E"/>
    <w:rsid w:val="003C43A5"/>
    <w:rsid w:val="003C6689"/>
    <w:rsid w:val="003C6CAD"/>
    <w:rsid w:val="003C7716"/>
    <w:rsid w:val="003D0710"/>
    <w:rsid w:val="003D24D5"/>
    <w:rsid w:val="003D282D"/>
    <w:rsid w:val="003D3083"/>
    <w:rsid w:val="003D5C82"/>
    <w:rsid w:val="003E194D"/>
    <w:rsid w:val="003E1AB0"/>
    <w:rsid w:val="003E1C5C"/>
    <w:rsid w:val="003E2140"/>
    <w:rsid w:val="003E3249"/>
    <w:rsid w:val="003E45C4"/>
    <w:rsid w:val="003E64AD"/>
    <w:rsid w:val="003F0D79"/>
    <w:rsid w:val="003F3087"/>
    <w:rsid w:val="003F5B46"/>
    <w:rsid w:val="00401363"/>
    <w:rsid w:val="00401C71"/>
    <w:rsid w:val="00402E47"/>
    <w:rsid w:val="00403D7F"/>
    <w:rsid w:val="00405582"/>
    <w:rsid w:val="00406A15"/>
    <w:rsid w:val="00411AF3"/>
    <w:rsid w:val="00413666"/>
    <w:rsid w:val="00415BB7"/>
    <w:rsid w:val="004170D1"/>
    <w:rsid w:val="0042080C"/>
    <w:rsid w:val="00420BE7"/>
    <w:rsid w:val="0042131D"/>
    <w:rsid w:val="0042180E"/>
    <w:rsid w:val="0042254C"/>
    <w:rsid w:val="00422C4F"/>
    <w:rsid w:val="00423559"/>
    <w:rsid w:val="00424012"/>
    <w:rsid w:val="0042437F"/>
    <w:rsid w:val="00425015"/>
    <w:rsid w:val="00425B4F"/>
    <w:rsid w:val="00426BDD"/>
    <w:rsid w:val="00426BF8"/>
    <w:rsid w:val="004301E2"/>
    <w:rsid w:val="00430994"/>
    <w:rsid w:val="00431706"/>
    <w:rsid w:val="00432F69"/>
    <w:rsid w:val="004331F2"/>
    <w:rsid w:val="00435592"/>
    <w:rsid w:val="00436456"/>
    <w:rsid w:val="0044046E"/>
    <w:rsid w:val="00441B6D"/>
    <w:rsid w:val="0044337A"/>
    <w:rsid w:val="0044343F"/>
    <w:rsid w:val="00446D48"/>
    <w:rsid w:val="00447CAF"/>
    <w:rsid w:val="00450201"/>
    <w:rsid w:val="0045191A"/>
    <w:rsid w:val="00452228"/>
    <w:rsid w:val="0045382D"/>
    <w:rsid w:val="00453D5D"/>
    <w:rsid w:val="00455521"/>
    <w:rsid w:val="004556EF"/>
    <w:rsid w:val="00460DE2"/>
    <w:rsid w:val="00462B07"/>
    <w:rsid w:val="00462E91"/>
    <w:rsid w:val="00465BD2"/>
    <w:rsid w:val="00465D95"/>
    <w:rsid w:val="00466A33"/>
    <w:rsid w:val="0047005A"/>
    <w:rsid w:val="00470F47"/>
    <w:rsid w:val="004718A6"/>
    <w:rsid w:val="00473729"/>
    <w:rsid w:val="0047414B"/>
    <w:rsid w:val="00475DC5"/>
    <w:rsid w:val="00480A71"/>
    <w:rsid w:val="00482BC4"/>
    <w:rsid w:val="00486FC2"/>
    <w:rsid w:val="004871AA"/>
    <w:rsid w:val="00487653"/>
    <w:rsid w:val="00490246"/>
    <w:rsid w:val="00490DBD"/>
    <w:rsid w:val="004926E1"/>
    <w:rsid w:val="004930E9"/>
    <w:rsid w:val="004949A0"/>
    <w:rsid w:val="004949D8"/>
    <w:rsid w:val="00494CE6"/>
    <w:rsid w:val="00495159"/>
    <w:rsid w:val="004A09CF"/>
    <w:rsid w:val="004A2FEA"/>
    <w:rsid w:val="004A311E"/>
    <w:rsid w:val="004A698F"/>
    <w:rsid w:val="004B0328"/>
    <w:rsid w:val="004B2E60"/>
    <w:rsid w:val="004C182A"/>
    <w:rsid w:val="004C3524"/>
    <w:rsid w:val="004C396A"/>
    <w:rsid w:val="004C3E81"/>
    <w:rsid w:val="004C3ED9"/>
    <w:rsid w:val="004C46DC"/>
    <w:rsid w:val="004C4D4D"/>
    <w:rsid w:val="004C5B88"/>
    <w:rsid w:val="004C7806"/>
    <w:rsid w:val="004C7A27"/>
    <w:rsid w:val="004D17D2"/>
    <w:rsid w:val="004D25E7"/>
    <w:rsid w:val="004D26CE"/>
    <w:rsid w:val="004D4BF9"/>
    <w:rsid w:val="004D5174"/>
    <w:rsid w:val="004D55B3"/>
    <w:rsid w:val="004D5F5F"/>
    <w:rsid w:val="004D75C5"/>
    <w:rsid w:val="004E0A28"/>
    <w:rsid w:val="004E1BB6"/>
    <w:rsid w:val="004E2186"/>
    <w:rsid w:val="004E3150"/>
    <w:rsid w:val="004E6249"/>
    <w:rsid w:val="004E66FB"/>
    <w:rsid w:val="004F0730"/>
    <w:rsid w:val="004F3F4A"/>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2007"/>
    <w:rsid w:val="005128DF"/>
    <w:rsid w:val="00512F82"/>
    <w:rsid w:val="005130B4"/>
    <w:rsid w:val="00515335"/>
    <w:rsid w:val="005206FE"/>
    <w:rsid w:val="0052144F"/>
    <w:rsid w:val="00522FF0"/>
    <w:rsid w:val="00524C05"/>
    <w:rsid w:val="005257ED"/>
    <w:rsid w:val="0052585F"/>
    <w:rsid w:val="00525A32"/>
    <w:rsid w:val="005261E1"/>
    <w:rsid w:val="005306F8"/>
    <w:rsid w:val="0053341A"/>
    <w:rsid w:val="005355B0"/>
    <w:rsid w:val="0054023D"/>
    <w:rsid w:val="005411E4"/>
    <w:rsid w:val="00542BCB"/>
    <w:rsid w:val="0055194C"/>
    <w:rsid w:val="00551B8E"/>
    <w:rsid w:val="005548BF"/>
    <w:rsid w:val="00554EB0"/>
    <w:rsid w:val="0055742B"/>
    <w:rsid w:val="00557ABD"/>
    <w:rsid w:val="0056213C"/>
    <w:rsid w:val="00570D92"/>
    <w:rsid w:val="00575856"/>
    <w:rsid w:val="00576893"/>
    <w:rsid w:val="00580C24"/>
    <w:rsid w:val="00582518"/>
    <w:rsid w:val="00585D4A"/>
    <w:rsid w:val="005862E8"/>
    <w:rsid w:val="00587D6D"/>
    <w:rsid w:val="00591C49"/>
    <w:rsid w:val="005922DB"/>
    <w:rsid w:val="00593323"/>
    <w:rsid w:val="005947BA"/>
    <w:rsid w:val="005968EF"/>
    <w:rsid w:val="00596C1E"/>
    <w:rsid w:val="005A05BB"/>
    <w:rsid w:val="005A14B5"/>
    <w:rsid w:val="005A17D7"/>
    <w:rsid w:val="005A1CD2"/>
    <w:rsid w:val="005A27E3"/>
    <w:rsid w:val="005A2E26"/>
    <w:rsid w:val="005A2EC6"/>
    <w:rsid w:val="005A30A8"/>
    <w:rsid w:val="005A6719"/>
    <w:rsid w:val="005A691C"/>
    <w:rsid w:val="005B2392"/>
    <w:rsid w:val="005B2964"/>
    <w:rsid w:val="005B3499"/>
    <w:rsid w:val="005B34FB"/>
    <w:rsid w:val="005B64DE"/>
    <w:rsid w:val="005C0DAE"/>
    <w:rsid w:val="005C13C5"/>
    <w:rsid w:val="005C188E"/>
    <w:rsid w:val="005C24F6"/>
    <w:rsid w:val="005C37A0"/>
    <w:rsid w:val="005C492C"/>
    <w:rsid w:val="005C74B3"/>
    <w:rsid w:val="005C74C1"/>
    <w:rsid w:val="005D2349"/>
    <w:rsid w:val="005D31D4"/>
    <w:rsid w:val="005D347B"/>
    <w:rsid w:val="005D3640"/>
    <w:rsid w:val="005D3C96"/>
    <w:rsid w:val="005D5172"/>
    <w:rsid w:val="005D64AD"/>
    <w:rsid w:val="005D64B9"/>
    <w:rsid w:val="005E5507"/>
    <w:rsid w:val="005E607B"/>
    <w:rsid w:val="005F0AF7"/>
    <w:rsid w:val="005F2759"/>
    <w:rsid w:val="005F4453"/>
    <w:rsid w:val="005F466D"/>
    <w:rsid w:val="005F4C58"/>
    <w:rsid w:val="005F4ED4"/>
    <w:rsid w:val="005F63D6"/>
    <w:rsid w:val="00601229"/>
    <w:rsid w:val="00601672"/>
    <w:rsid w:val="00602D1F"/>
    <w:rsid w:val="00603B67"/>
    <w:rsid w:val="0060683F"/>
    <w:rsid w:val="00610209"/>
    <w:rsid w:val="0061271C"/>
    <w:rsid w:val="00615976"/>
    <w:rsid w:val="00615AB0"/>
    <w:rsid w:val="006162A2"/>
    <w:rsid w:val="0062000A"/>
    <w:rsid w:val="006250E0"/>
    <w:rsid w:val="00626CE6"/>
    <w:rsid w:val="00627CAB"/>
    <w:rsid w:val="0063140C"/>
    <w:rsid w:val="0063158C"/>
    <w:rsid w:val="0063256E"/>
    <w:rsid w:val="00632D14"/>
    <w:rsid w:val="00635219"/>
    <w:rsid w:val="00635EC0"/>
    <w:rsid w:val="00636ABD"/>
    <w:rsid w:val="00640B58"/>
    <w:rsid w:val="00643E5D"/>
    <w:rsid w:val="006447DC"/>
    <w:rsid w:val="00645B9C"/>
    <w:rsid w:val="00646A2B"/>
    <w:rsid w:val="006475CD"/>
    <w:rsid w:val="006475DD"/>
    <w:rsid w:val="00647D1D"/>
    <w:rsid w:val="00650955"/>
    <w:rsid w:val="00651B02"/>
    <w:rsid w:val="00651B19"/>
    <w:rsid w:val="00652AFC"/>
    <w:rsid w:val="006531B7"/>
    <w:rsid w:val="0065433B"/>
    <w:rsid w:val="00654EBA"/>
    <w:rsid w:val="00655201"/>
    <w:rsid w:val="00656E03"/>
    <w:rsid w:val="006602C2"/>
    <w:rsid w:val="006606B0"/>
    <w:rsid w:val="00660A29"/>
    <w:rsid w:val="00661F94"/>
    <w:rsid w:val="0066204E"/>
    <w:rsid w:val="00665B58"/>
    <w:rsid w:val="00667ED4"/>
    <w:rsid w:val="0067190E"/>
    <w:rsid w:val="00672D5D"/>
    <w:rsid w:val="00673488"/>
    <w:rsid w:val="006772DC"/>
    <w:rsid w:val="00680BB7"/>
    <w:rsid w:val="00680C86"/>
    <w:rsid w:val="00681BE8"/>
    <w:rsid w:val="00682EEB"/>
    <w:rsid w:val="00682F06"/>
    <w:rsid w:val="00685E5A"/>
    <w:rsid w:val="006865F1"/>
    <w:rsid w:val="00686BD0"/>
    <w:rsid w:val="00687C85"/>
    <w:rsid w:val="00690FCD"/>
    <w:rsid w:val="006911C1"/>
    <w:rsid w:val="00693BEE"/>
    <w:rsid w:val="00693C9E"/>
    <w:rsid w:val="006948BD"/>
    <w:rsid w:val="00695519"/>
    <w:rsid w:val="006A1302"/>
    <w:rsid w:val="006A14F4"/>
    <w:rsid w:val="006A1C8D"/>
    <w:rsid w:val="006A337F"/>
    <w:rsid w:val="006A4134"/>
    <w:rsid w:val="006A426C"/>
    <w:rsid w:val="006A5DDA"/>
    <w:rsid w:val="006A6560"/>
    <w:rsid w:val="006A6701"/>
    <w:rsid w:val="006B21F4"/>
    <w:rsid w:val="006B3753"/>
    <w:rsid w:val="006B607D"/>
    <w:rsid w:val="006B7AD6"/>
    <w:rsid w:val="006B7B57"/>
    <w:rsid w:val="006C11E2"/>
    <w:rsid w:val="006C3564"/>
    <w:rsid w:val="006C4476"/>
    <w:rsid w:val="006C4E87"/>
    <w:rsid w:val="006C50FD"/>
    <w:rsid w:val="006C7199"/>
    <w:rsid w:val="006C7C16"/>
    <w:rsid w:val="006D05AE"/>
    <w:rsid w:val="006D09DF"/>
    <w:rsid w:val="006D44C1"/>
    <w:rsid w:val="006D68A7"/>
    <w:rsid w:val="006E5651"/>
    <w:rsid w:val="006E5B85"/>
    <w:rsid w:val="006F20D0"/>
    <w:rsid w:val="006F4522"/>
    <w:rsid w:val="007017D6"/>
    <w:rsid w:val="0070265B"/>
    <w:rsid w:val="00704813"/>
    <w:rsid w:val="007077EF"/>
    <w:rsid w:val="00716771"/>
    <w:rsid w:val="007175D0"/>
    <w:rsid w:val="00717834"/>
    <w:rsid w:val="0072290D"/>
    <w:rsid w:val="00723D6D"/>
    <w:rsid w:val="00724537"/>
    <w:rsid w:val="00727495"/>
    <w:rsid w:val="00727F78"/>
    <w:rsid w:val="00731724"/>
    <w:rsid w:val="00732A65"/>
    <w:rsid w:val="00732AB3"/>
    <w:rsid w:val="00732C43"/>
    <w:rsid w:val="00733D1A"/>
    <w:rsid w:val="0073474B"/>
    <w:rsid w:val="00735511"/>
    <w:rsid w:val="0073710C"/>
    <w:rsid w:val="00737B7A"/>
    <w:rsid w:val="007423E2"/>
    <w:rsid w:val="007424AE"/>
    <w:rsid w:val="007426D7"/>
    <w:rsid w:val="00743EA1"/>
    <w:rsid w:val="00743F56"/>
    <w:rsid w:val="00744DE6"/>
    <w:rsid w:val="0074618B"/>
    <w:rsid w:val="007479AE"/>
    <w:rsid w:val="00754A18"/>
    <w:rsid w:val="00756A83"/>
    <w:rsid w:val="007577D7"/>
    <w:rsid w:val="007612F4"/>
    <w:rsid w:val="0076150E"/>
    <w:rsid w:val="00762035"/>
    <w:rsid w:val="00762452"/>
    <w:rsid w:val="007639E0"/>
    <w:rsid w:val="00765576"/>
    <w:rsid w:val="0076600E"/>
    <w:rsid w:val="00766A09"/>
    <w:rsid w:val="00770598"/>
    <w:rsid w:val="00772105"/>
    <w:rsid w:val="00772ABF"/>
    <w:rsid w:val="00773714"/>
    <w:rsid w:val="007741B7"/>
    <w:rsid w:val="00775507"/>
    <w:rsid w:val="00775D5A"/>
    <w:rsid w:val="00775DBA"/>
    <w:rsid w:val="007772F6"/>
    <w:rsid w:val="0077760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47DC"/>
    <w:rsid w:val="007A4E18"/>
    <w:rsid w:val="007A63DE"/>
    <w:rsid w:val="007A7B8C"/>
    <w:rsid w:val="007B04A8"/>
    <w:rsid w:val="007B3D53"/>
    <w:rsid w:val="007C289B"/>
    <w:rsid w:val="007C2BEC"/>
    <w:rsid w:val="007C3B32"/>
    <w:rsid w:val="007C4346"/>
    <w:rsid w:val="007C5034"/>
    <w:rsid w:val="007C6D9E"/>
    <w:rsid w:val="007D0F33"/>
    <w:rsid w:val="007D100A"/>
    <w:rsid w:val="007D1932"/>
    <w:rsid w:val="007D1C43"/>
    <w:rsid w:val="007D2032"/>
    <w:rsid w:val="007D4660"/>
    <w:rsid w:val="007D6C53"/>
    <w:rsid w:val="007E1E87"/>
    <w:rsid w:val="007E3E0D"/>
    <w:rsid w:val="007E5B3F"/>
    <w:rsid w:val="007E736A"/>
    <w:rsid w:val="007E782E"/>
    <w:rsid w:val="007F010D"/>
    <w:rsid w:val="007F2257"/>
    <w:rsid w:val="007F23A2"/>
    <w:rsid w:val="007F41BE"/>
    <w:rsid w:val="007F57A4"/>
    <w:rsid w:val="0080091D"/>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6367"/>
    <w:rsid w:val="008166DC"/>
    <w:rsid w:val="00816A0B"/>
    <w:rsid w:val="00816DAB"/>
    <w:rsid w:val="00816E22"/>
    <w:rsid w:val="0081770E"/>
    <w:rsid w:val="0082020C"/>
    <w:rsid w:val="00825640"/>
    <w:rsid w:val="00827194"/>
    <w:rsid w:val="00830C53"/>
    <w:rsid w:val="008311EE"/>
    <w:rsid w:val="0083212B"/>
    <w:rsid w:val="008344DF"/>
    <w:rsid w:val="00837FAA"/>
    <w:rsid w:val="00837FE9"/>
    <w:rsid w:val="00841F77"/>
    <w:rsid w:val="008437D7"/>
    <w:rsid w:val="00844503"/>
    <w:rsid w:val="00847C71"/>
    <w:rsid w:val="00850D3C"/>
    <w:rsid w:val="008512A3"/>
    <w:rsid w:val="00851D8B"/>
    <w:rsid w:val="00852921"/>
    <w:rsid w:val="00852B55"/>
    <w:rsid w:val="008545B9"/>
    <w:rsid w:val="00855F59"/>
    <w:rsid w:val="00861465"/>
    <w:rsid w:val="00863390"/>
    <w:rsid w:val="0086385C"/>
    <w:rsid w:val="008654EF"/>
    <w:rsid w:val="00871168"/>
    <w:rsid w:val="00871916"/>
    <w:rsid w:val="008745B2"/>
    <w:rsid w:val="008758A0"/>
    <w:rsid w:val="00880100"/>
    <w:rsid w:val="008801DD"/>
    <w:rsid w:val="00882058"/>
    <w:rsid w:val="0088209F"/>
    <w:rsid w:val="008827C5"/>
    <w:rsid w:val="00882D59"/>
    <w:rsid w:val="0088670E"/>
    <w:rsid w:val="00890DA1"/>
    <w:rsid w:val="00893445"/>
    <w:rsid w:val="008A2A22"/>
    <w:rsid w:val="008A385B"/>
    <w:rsid w:val="008A4EFF"/>
    <w:rsid w:val="008A510E"/>
    <w:rsid w:val="008A522A"/>
    <w:rsid w:val="008A59D9"/>
    <w:rsid w:val="008A7DDA"/>
    <w:rsid w:val="008B179F"/>
    <w:rsid w:val="008B1C93"/>
    <w:rsid w:val="008B3254"/>
    <w:rsid w:val="008B4464"/>
    <w:rsid w:val="008B454D"/>
    <w:rsid w:val="008B6C86"/>
    <w:rsid w:val="008B750B"/>
    <w:rsid w:val="008C037D"/>
    <w:rsid w:val="008C3162"/>
    <w:rsid w:val="008D058A"/>
    <w:rsid w:val="008D453D"/>
    <w:rsid w:val="008D47FC"/>
    <w:rsid w:val="008D5D8F"/>
    <w:rsid w:val="008D6053"/>
    <w:rsid w:val="008D6669"/>
    <w:rsid w:val="008D6B51"/>
    <w:rsid w:val="008E0D16"/>
    <w:rsid w:val="008E1918"/>
    <w:rsid w:val="008E1F45"/>
    <w:rsid w:val="008E2137"/>
    <w:rsid w:val="008E25AE"/>
    <w:rsid w:val="008E25C1"/>
    <w:rsid w:val="008E262E"/>
    <w:rsid w:val="008E3924"/>
    <w:rsid w:val="008E4431"/>
    <w:rsid w:val="008E50EC"/>
    <w:rsid w:val="008E5BAF"/>
    <w:rsid w:val="008E784A"/>
    <w:rsid w:val="008E7A0B"/>
    <w:rsid w:val="008F13F7"/>
    <w:rsid w:val="008F3420"/>
    <w:rsid w:val="008F3EB4"/>
    <w:rsid w:val="008F5583"/>
    <w:rsid w:val="008F5B4D"/>
    <w:rsid w:val="008F7513"/>
    <w:rsid w:val="008F7559"/>
    <w:rsid w:val="0090222C"/>
    <w:rsid w:val="00902BE0"/>
    <w:rsid w:val="009031B0"/>
    <w:rsid w:val="00905909"/>
    <w:rsid w:val="00907425"/>
    <w:rsid w:val="00911E09"/>
    <w:rsid w:val="00913E3E"/>
    <w:rsid w:val="009142B4"/>
    <w:rsid w:val="009174B9"/>
    <w:rsid w:val="00917837"/>
    <w:rsid w:val="00922D21"/>
    <w:rsid w:val="009233B2"/>
    <w:rsid w:val="00923C34"/>
    <w:rsid w:val="00924152"/>
    <w:rsid w:val="0092513D"/>
    <w:rsid w:val="0092546B"/>
    <w:rsid w:val="00925B47"/>
    <w:rsid w:val="00925C42"/>
    <w:rsid w:val="00925FF6"/>
    <w:rsid w:val="00926C56"/>
    <w:rsid w:val="00927A9F"/>
    <w:rsid w:val="00927D22"/>
    <w:rsid w:val="009312F5"/>
    <w:rsid w:val="00931AFB"/>
    <w:rsid w:val="009335CC"/>
    <w:rsid w:val="00935A55"/>
    <w:rsid w:val="00936D01"/>
    <w:rsid w:val="009377BE"/>
    <w:rsid w:val="00940835"/>
    <w:rsid w:val="00940A53"/>
    <w:rsid w:val="00941CEB"/>
    <w:rsid w:val="0094329C"/>
    <w:rsid w:val="00946CEE"/>
    <w:rsid w:val="00947567"/>
    <w:rsid w:val="009505A4"/>
    <w:rsid w:val="009506DD"/>
    <w:rsid w:val="00951446"/>
    <w:rsid w:val="00953B28"/>
    <w:rsid w:val="009540D0"/>
    <w:rsid w:val="00954322"/>
    <w:rsid w:val="009555BC"/>
    <w:rsid w:val="00955910"/>
    <w:rsid w:val="00955D87"/>
    <w:rsid w:val="0095673E"/>
    <w:rsid w:val="00956F59"/>
    <w:rsid w:val="00957CAA"/>
    <w:rsid w:val="00961F3E"/>
    <w:rsid w:val="00962C24"/>
    <w:rsid w:val="0096320A"/>
    <w:rsid w:val="0096778A"/>
    <w:rsid w:val="00967E8A"/>
    <w:rsid w:val="009703F2"/>
    <w:rsid w:val="00971072"/>
    <w:rsid w:val="009710B4"/>
    <w:rsid w:val="00971CDF"/>
    <w:rsid w:val="009728CA"/>
    <w:rsid w:val="00973EB5"/>
    <w:rsid w:val="00976C55"/>
    <w:rsid w:val="00976E1C"/>
    <w:rsid w:val="0097739D"/>
    <w:rsid w:val="00977656"/>
    <w:rsid w:val="00977D2F"/>
    <w:rsid w:val="00982BB7"/>
    <w:rsid w:val="009859B9"/>
    <w:rsid w:val="00985FCA"/>
    <w:rsid w:val="0098794D"/>
    <w:rsid w:val="0099087F"/>
    <w:rsid w:val="00993095"/>
    <w:rsid w:val="009940DB"/>
    <w:rsid w:val="0099497B"/>
    <w:rsid w:val="00994D1C"/>
    <w:rsid w:val="00994F4F"/>
    <w:rsid w:val="0099578D"/>
    <w:rsid w:val="009A0453"/>
    <w:rsid w:val="009A2CA4"/>
    <w:rsid w:val="009A5D2F"/>
    <w:rsid w:val="009A6F79"/>
    <w:rsid w:val="009B0D05"/>
    <w:rsid w:val="009B2C8C"/>
    <w:rsid w:val="009B38D0"/>
    <w:rsid w:val="009B4CA6"/>
    <w:rsid w:val="009B52CC"/>
    <w:rsid w:val="009B5900"/>
    <w:rsid w:val="009B79F8"/>
    <w:rsid w:val="009C03FB"/>
    <w:rsid w:val="009C5560"/>
    <w:rsid w:val="009C685C"/>
    <w:rsid w:val="009C6F4C"/>
    <w:rsid w:val="009D13FD"/>
    <w:rsid w:val="009D1A34"/>
    <w:rsid w:val="009D266A"/>
    <w:rsid w:val="009D4564"/>
    <w:rsid w:val="009D7AAD"/>
    <w:rsid w:val="009E2587"/>
    <w:rsid w:val="009E2D45"/>
    <w:rsid w:val="009E3E97"/>
    <w:rsid w:val="009E4AFA"/>
    <w:rsid w:val="009E4BC7"/>
    <w:rsid w:val="009E5772"/>
    <w:rsid w:val="009E6F2D"/>
    <w:rsid w:val="009E79D0"/>
    <w:rsid w:val="009F238C"/>
    <w:rsid w:val="009F593F"/>
    <w:rsid w:val="009F5D2B"/>
    <w:rsid w:val="009F6D86"/>
    <w:rsid w:val="009F7E07"/>
    <w:rsid w:val="00A023EC"/>
    <w:rsid w:val="00A04295"/>
    <w:rsid w:val="00A05640"/>
    <w:rsid w:val="00A07259"/>
    <w:rsid w:val="00A07DBD"/>
    <w:rsid w:val="00A10A11"/>
    <w:rsid w:val="00A12DD6"/>
    <w:rsid w:val="00A13C6A"/>
    <w:rsid w:val="00A142E0"/>
    <w:rsid w:val="00A17A9C"/>
    <w:rsid w:val="00A17B09"/>
    <w:rsid w:val="00A20ED3"/>
    <w:rsid w:val="00A21E10"/>
    <w:rsid w:val="00A22B5F"/>
    <w:rsid w:val="00A25613"/>
    <w:rsid w:val="00A25B89"/>
    <w:rsid w:val="00A312D8"/>
    <w:rsid w:val="00A316A6"/>
    <w:rsid w:val="00A31E85"/>
    <w:rsid w:val="00A3551D"/>
    <w:rsid w:val="00A3562C"/>
    <w:rsid w:val="00A41196"/>
    <w:rsid w:val="00A427FD"/>
    <w:rsid w:val="00A441D8"/>
    <w:rsid w:val="00A457C6"/>
    <w:rsid w:val="00A46AD0"/>
    <w:rsid w:val="00A47063"/>
    <w:rsid w:val="00A47208"/>
    <w:rsid w:val="00A473A8"/>
    <w:rsid w:val="00A51C03"/>
    <w:rsid w:val="00A52791"/>
    <w:rsid w:val="00A5617B"/>
    <w:rsid w:val="00A56B0A"/>
    <w:rsid w:val="00A6089C"/>
    <w:rsid w:val="00A61AC8"/>
    <w:rsid w:val="00A65812"/>
    <w:rsid w:val="00A65D4C"/>
    <w:rsid w:val="00A706DD"/>
    <w:rsid w:val="00A72FF0"/>
    <w:rsid w:val="00A742D2"/>
    <w:rsid w:val="00A76545"/>
    <w:rsid w:val="00A827F5"/>
    <w:rsid w:val="00A840D5"/>
    <w:rsid w:val="00A917DD"/>
    <w:rsid w:val="00A95663"/>
    <w:rsid w:val="00A96003"/>
    <w:rsid w:val="00A96267"/>
    <w:rsid w:val="00A97028"/>
    <w:rsid w:val="00A9789E"/>
    <w:rsid w:val="00A97EC8"/>
    <w:rsid w:val="00AA11F7"/>
    <w:rsid w:val="00AA1E49"/>
    <w:rsid w:val="00AA40D7"/>
    <w:rsid w:val="00AB08DB"/>
    <w:rsid w:val="00AB0C79"/>
    <w:rsid w:val="00AB152B"/>
    <w:rsid w:val="00AB3831"/>
    <w:rsid w:val="00AB5F7D"/>
    <w:rsid w:val="00AC04F1"/>
    <w:rsid w:val="00AC0C50"/>
    <w:rsid w:val="00AC1C4B"/>
    <w:rsid w:val="00AC3F8C"/>
    <w:rsid w:val="00AC4412"/>
    <w:rsid w:val="00AC6FE2"/>
    <w:rsid w:val="00AD168D"/>
    <w:rsid w:val="00AD35FF"/>
    <w:rsid w:val="00AD4E2F"/>
    <w:rsid w:val="00AD53AC"/>
    <w:rsid w:val="00AD60B9"/>
    <w:rsid w:val="00AE0C41"/>
    <w:rsid w:val="00AE2513"/>
    <w:rsid w:val="00AE6BA7"/>
    <w:rsid w:val="00AE6C90"/>
    <w:rsid w:val="00AF091F"/>
    <w:rsid w:val="00AF128A"/>
    <w:rsid w:val="00AF2977"/>
    <w:rsid w:val="00AF3925"/>
    <w:rsid w:val="00AF4CB7"/>
    <w:rsid w:val="00AF57D1"/>
    <w:rsid w:val="00AF5D90"/>
    <w:rsid w:val="00AF667D"/>
    <w:rsid w:val="00AF77FA"/>
    <w:rsid w:val="00B011DA"/>
    <w:rsid w:val="00B019AC"/>
    <w:rsid w:val="00B01EC3"/>
    <w:rsid w:val="00B023EC"/>
    <w:rsid w:val="00B036CB"/>
    <w:rsid w:val="00B0675E"/>
    <w:rsid w:val="00B109FE"/>
    <w:rsid w:val="00B1180C"/>
    <w:rsid w:val="00B11D4C"/>
    <w:rsid w:val="00B12519"/>
    <w:rsid w:val="00B14356"/>
    <w:rsid w:val="00B1567E"/>
    <w:rsid w:val="00B16D9F"/>
    <w:rsid w:val="00B17658"/>
    <w:rsid w:val="00B20EE3"/>
    <w:rsid w:val="00B21540"/>
    <w:rsid w:val="00B2292F"/>
    <w:rsid w:val="00B22F32"/>
    <w:rsid w:val="00B23389"/>
    <w:rsid w:val="00B24398"/>
    <w:rsid w:val="00B246B4"/>
    <w:rsid w:val="00B24828"/>
    <w:rsid w:val="00B25888"/>
    <w:rsid w:val="00B25C8A"/>
    <w:rsid w:val="00B27139"/>
    <w:rsid w:val="00B27399"/>
    <w:rsid w:val="00B30758"/>
    <w:rsid w:val="00B30E04"/>
    <w:rsid w:val="00B323AA"/>
    <w:rsid w:val="00B350F2"/>
    <w:rsid w:val="00B37893"/>
    <w:rsid w:val="00B40736"/>
    <w:rsid w:val="00B41122"/>
    <w:rsid w:val="00B42E4C"/>
    <w:rsid w:val="00B43169"/>
    <w:rsid w:val="00B43F85"/>
    <w:rsid w:val="00B445D6"/>
    <w:rsid w:val="00B45855"/>
    <w:rsid w:val="00B45D5F"/>
    <w:rsid w:val="00B517B7"/>
    <w:rsid w:val="00B525BE"/>
    <w:rsid w:val="00B52E73"/>
    <w:rsid w:val="00B5364A"/>
    <w:rsid w:val="00B54D5C"/>
    <w:rsid w:val="00B55AE4"/>
    <w:rsid w:val="00B57FAC"/>
    <w:rsid w:val="00B601FF"/>
    <w:rsid w:val="00B61D8D"/>
    <w:rsid w:val="00B63235"/>
    <w:rsid w:val="00B64245"/>
    <w:rsid w:val="00B64318"/>
    <w:rsid w:val="00B66028"/>
    <w:rsid w:val="00B6608F"/>
    <w:rsid w:val="00B70109"/>
    <w:rsid w:val="00B7018C"/>
    <w:rsid w:val="00B709F4"/>
    <w:rsid w:val="00B739B0"/>
    <w:rsid w:val="00B73A45"/>
    <w:rsid w:val="00B7415D"/>
    <w:rsid w:val="00B80FBF"/>
    <w:rsid w:val="00B814A3"/>
    <w:rsid w:val="00B828B4"/>
    <w:rsid w:val="00B836FB"/>
    <w:rsid w:val="00B900CE"/>
    <w:rsid w:val="00B90216"/>
    <w:rsid w:val="00B926E6"/>
    <w:rsid w:val="00B92756"/>
    <w:rsid w:val="00B941C1"/>
    <w:rsid w:val="00B95B84"/>
    <w:rsid w:val="00B96F38"/>
    <w:rsid w:val="00B97EDD"/>
    <w:rsid w:val="00BA152A"/>
    <w:rsid w:val="00BA2379"/>
    <w:rsid w:val="00BA2B4E"/>
    <w:rsid w:val="00BA34F0"/>
    <w:rsid w:val="00BA3F47"/>
    <w:rsid w:val="00BA6730"/>
    <w:rsid w:val="00BA7862"/>
    <w:rsid w:val="00BB2859"/>
    <w:rsid w:val="00BB487C"/>
    <w:rsid w:val="00BB4FE3"/>
    <w:rsid w:val="00BB531F"/>
    <w:rsid w:val="00BB5DD7"/>
    <w:rsid w:val="00BC0359"/>
    <w:rsid w:val="00BC0F27"/>
    <w:rsid w:val="00BC4E39"/>
    <w:rsid w:val="00BC6642"/>
    <w:rsid w:val="00BC715A"/>
    <w:rsid w:val="00BD0232"/>
    <w:rsid w:val="00BD0559"/>
    <w:rsid w:val="00BD0E74"/>
    <w:rsid w:val="00BD1599"/>
    <w:rsid w:val="00BD3A8D"/>
    <w:rsid w:val="00BD5F8C"/>
    <w:rsid w:val="00BE0D9D"/>
    <w:rsid w:val="00BE29DD"/>
    <w:rsid w:val="00BE3B34"/>
    <w:rsid w:val="00BE3EDD"/>
    <w:rsid w:val="00BE46DD"/>
    <w:rsid w:val="00BE7FDF"/>
    <w:rsid w:val="00BF0B7D"/>
    <w:rsid w:val="00BF0BEC"/>
    <w:rsid w:val="00BF17EB"/>
    <w:rsid w:val="00BF7CDD"/>
    <w:rsid w:val="00C00F50"/>
    <w:rsid w:val="00C03953"/>
    <w:rsid w:val="00C05FE7"/>
    <w:rsid w:val="00C066AF"/>
    <w:rsid w:val="00C068C5"/>
    <w:rsid w:val="00C10E06"/>
    <w:rsid w:val="00C11DF9"/>
    <w:rsid w:val="00C12141"/>
    <w:rsid w:val="00C1281F"/>
    <w:rsid w:val="00C12B99"/>
    <w:rsid w:val="00C145B8"/>
    <w:rsid w:val="00C14CB1"/>
    <w:rsid w:val="00C15C51"/>
    <w:rsid w:val="00C21B74"/>
    <w:rsid w:val="00C2438F"/>
    <w:rsid w:val="00C24B73"/>
    <w:rsid w:val="00C25097"/>
    <w:rsid w:val="00C25319"/>
    <w:rsid w:val="00C2579C"/>
    <w:rsid w:val="00C31263"/>
    <w:rsid w:val="00C32A7E"/>
    <w:rsid w:val="00C33208"/>
    <w:rsid w:val="00C34981"/>
    <w:rsid w:val="00C34F28"/>
    <w:rsid w:val="00C35624"/>
    <w:rsid w:val="00C368DF"/>
    <w:rsid w:val="00C36BD0"/>
    <w:rsid w:val="00C43E26"/>
    <w:rsid w:val="00C44037"/>
    <w:rsid w:val="00C511BB"/>
    <w:rsid w:val="00C521BD"/>
    <w:rsid w:val="00C5441B"/>
    <w:rsid w:val="00C55941"/>
    <w:rsid w:val="00C57B5C"/>
    <w:rsid w:val="00C60AD3"/>
    <w:rsid w:val="00C61049"/>
    <w:rsid w:val="00C6171E"/>
    <w:rsid w:val="00C6320A"/>
    <w:rsid w:val="00C637B0"/>
    <w:rsid w:val="00C63FFE"/>
    <w:rsid w:val="00C670CD"/>
    <w:rsid w:val="00C739C2"/>
    <w:rsid w:val="00C800C2"/>
    <w:rsid w:val="00C81440"/>
    <w:rsid w:val="00C83552"/>
    <w:rsid w:val="00C878E4"/>
    <w:rsid w:val="00C91EB6"/>
    <w:rsid w:val="00C924FA"/>
    <w:rsid w:val="00C92EA5"/>
    <w:rsid w:val="00C92F5E"/>
    <w:rsid w:val="00C93033"/>
    <w:rsid w:val="00C94008"/>
    <w:rsid w:val="00C9523A"/>
    <w:rsid w:val="00C9569D"/>
    <w:rsid w:val="00C97DE5"/>
    <w:rsid w:val="00CA0E0B"/>
    <w:rsid w:val="00CA10B0"/>
    <w:rsid w:val="00CA2A58"/>
    <w:rsid w:val="00CA2F8E"/>
    <w:rsid w:val="00CA7FD5"/>
    <w:rsid w:val="00CB1D49"/>
    <w:rsid w:val="00CB3211"/>
    <w:rsid w:val="00CB3287"/>
    <w:rsid w:val="00CB33E2"/>
    <w:rsid w:val="00CB41E7"/>
    <w:rsid w:val="00CB4B60"/>
    <w:rsid w:val="00CB4E68"/>
    <w:rsid w:val="00CB696F"/>
    <w:rsid w:val="00CB6CFB"/>
    <w:rsid w:val="00CC2733"/>
    <w:rsid w:val="00CC4D78"/>
    <w:rsid w:val="00CD0050"/>
    <w:rsid w:val="00CD33B0"/>
    <w:rsid w:val="00CD3A1D"/>
    <w:rsid w:val="00CD3BA7"/>
    <w:rsid w:val="00CD3CE3"/>
    <w:rsid w:val="00CD3D2E"/>
    <w:rsid w:val="00CD41BA"/>
    <w:rsid w:val="00CD5803"/>
    <w:rsid w:val="00CD595C"/>
    <w:rsid w:val="00CE1572"/>
    <w:rsid w:val="00CE1C64"/>
    <w:rsid w:val="00CE2271"/>
    <w:rsid w:val="00CE28E6"/>
    <w:rsid w:val="00CE4908"/>
    <w:rsid w:val="00CE65F6"/>
    <w:rsid w:val="00CE7481"/>
    <w:rsid w:val="00CE7E15"/>
    <w:rsid w:val="00CF0664"/>
    <w:rsid w:val="00CF0A8F"/>
    <w:rsid w:val="00CF3B48"/>
    <w:rsid w:val="00CF47C0"/>
    <w:rsid w:val="00CF5394"/>
    <w:rsid w:val="00D03ECE"/>
    <w:rsid w:val="00D048CE"/>
    <w:rsid w:val="00D05A5D"/>
    <w:rsid w:val="00D06443"/>
    <w:rsid w:val="00D1009F"/>
    <w:rsid w:val="00D10998"/>
    <w:rsid w:val="00D151F6"/>
    <w:rsid w:val="00D1622A"/>
    <w:rsid w:val="00D163A5"/>
    <w:rsid w:val="00D20200"/>
    <w:rsid w:val="00D2256E"/>
    <w:rsid w:val="00D23103"/>
    <w:rsid w:val="00D23391"/>
    <w:rsid w:val="00D24AB3"/>
    <w:rsid w:val="00D3003B"/>
    <w:rsid w:val="00D31805"/>
    <w:rsid w:val="00D31B65"/>
    <w:rsid w:val="00D31D56"/>
    <w:rsid w:val="00D32FA5"/>
    <w:rsid w:val="00D330C0"/>
    <w:rsid w:val="00D337E0"/>
    <w:rsid w:val="00D363A6"/>
    <w:rsid w:val="00D404F8"/>
    <w:rsid w:val="00D42915"/>
    <w:rsid w:val="00D4592C"/>
    <w:rsid w:val="00D47476"/>
    <w:rsid w:val="00D47D30"/>
    <w:rsid w:val="00D47E8B"/>
    <w:rsid w:val="00D50B0A"/>
    <w:rsid w:val="00D542DA"/>
    <w:rsid w:val="00D54EDF"/>
    <w:rsid w:val="00D5512D"/>
    <w:rsid w:val="00D552B9"/>
    <w:rsid w:val="00D566A3"/>
    <w:rsid w:val="00D56ABC"/>
    <w:rsid w:val="00D609E5"/>
    <w:rsid w:val="00D62307"/>
    <w:rsid w:val="00D64E4C"/>
    <w:rsid w:val="00D6541C"/>
    <w:rsid w:val="00D67A8C"/>
    <w:rsid w:val="00D70447"/>
    <w:rsid w:val="00D708E4"/>
    <w:rsid w:val="00D70D9E"/>
    <w:rsid w:val="00D7118A"/>
    <w:rsid w:val="00D71C7D"/>
    <w:rsid w:val="00D74021"/>
    <w:rsid w:val="00D763DA"/>
    <w:rsid w:val="00D76D01"/>
    <w:rsid w:val="00D823FD"/>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60F6"/>
    <w:rsid w:val="00DD6F0A"/>
    <w:rsid w:val="00DD7E69"/>
    <w:rsid w:val="00DD7EE4"/>
    <w:rsid w:val="00DE1070"/>
    <w:rsid w:val="00DE135E"/>
    <w:rsid w:val="00DE2E96"/>
    <w:rsid w:val="00DE3129"/>
    <w:rsid w:val="00DE3FE1"/>
    <w:rsid w:val="00DE4E9B"/>
    <w:rsid w:val="00DE6E78"/>
    <w:rsid w:val="00DF0638"/>
    <w:rsid w:val="00DF06E8"/>
    <w:rsid w:val="00DF08D2"/>
    <w:rsid w:val="00DF2C47"/>
    <w:rsid w:val="00DF3871"/>
    <w:rsid w:val="00DF43C4"/>
    <w:rsid w:val="00DF4D41"/>
    <w:rsid w:val="00DF5346"/>
    <w:rsid w:val="00DF6960"/>
    <w:rsid w:val="00DF6D91"/>
    <w:rsid w:val="00E000FE"/>
    <w:rsid w:val="00E00219"/>
    <w:rsid w:val="00E0316B"/>
    <w:rsid w:val="00E038CE"/>
    <w:rsid w:val="00E0456B"/>
    <w:rsid w:val="00E04C29"/>
    <w:rsid w:val="00E06232"/>
    <w:rsid w:val="00E06736"/>
    <w:rsid w:val="00E1107E"/>
    <w:rsid w:val="00E137E2"/>
    <w:rsid w:val="00E139AB"/>
    <w:rsid w:val="00E145CA"/>
    <w:rsid w:val="00E14666"/>
    <w:rsid w:val="00E14BBC"/>
    <w:rsid w:val="00E14EE5"/>
    <w:rsid w:val="00E167FB"/>
    <w:rsid w:val="00E16B9B"/>
    <w:rsid w:val="00E16E57"/>
    <w:rsid w:val="00E22482"/>
    <w:rsid w:val="00E2268D"/>
    <w:rsid w:val="00E22F94"/>
    <w:rsid w:val="00E23965"/>
    <w:rsid w:val="00E25520"/>
    <w:rsid w:val="00E25E10"/>
    <w:rsid w:val="00E325D5"/>
    <w:rsid w:val="00E3656F"/>
    <w:rsid w:val="00E37444"/>
    <w:rsid w:val="00E37646"/>
    <w:rsid w:val="00E41691"/>
    <w:rsid w:val="00E424A9"/>
    <w:rsid w:val="00E441FB"/>
    <w:rsid w:val="00E44C4C"/>
    <w:rsid w:val="00E45096"/>
    <w:rsid w:val="00E454EB"/>
    <w:rsid w:val="00E5219B"/>
    <w:rsid w:val="00E53D89"/>
    <w:rsid w:val="00E5518B"/>
    <w:rsid w:val="00E55D93"/>
    <w:rsid w:val="00E56D76"/>
    <w:rsid w:val="00E57052"/>
    <w:rsid w:val="00E609FE"/>
    <w:rsid w:val="00E60EFE"/>
    <w:rsid w:val="00E678B6"/>
    <w:rsid w:val="00E73CB5"/>
    <w:rsid w:val="00E745C0"/>
    <w:rsid w:val="00E74FF2"/>
    <w:rsid w:val="00E75920"/>
    <w:rsid w:val="00E76173"/>
    <w:rsid w:val="00E76248"/>
    <w:rsid w:val="00E80CFE"/>
    <w:rsid w:val="00E80D96"/>
    <w:rsid w:val="00E82317"/>
    <w:rsid w:val="00E871FA"/>
    <w:rsid w:val="00E87A65"/>
    <w:rsid w:val="00E93660"/>
    <w:rsid w:val="00E936A4"/>
    <w:rsid w:val="00E94332"/>
    <w:rsid w:val="00E954BB"/>
    <w:rsid w:val="00E960A8"/>
    <w:rsid w:val="00E96AF6"/>
    <w:rsid w:val="00EA3665"/>
    <w:rsid w:val="00EA45E7"/>
    <w:rsid w:val="00EA4A9F"/>
    <w:rsid w:val="00EA5231"/>
    <w:rsid w:val="00EB1189"/>
    <w:rsid w:val="00EB2AFC"/>
    <w:rsid w:val="00EB2FB3"/>
    <w:rsid w:val="00EB4FA9"/>
    <w:rsid w:val="00EB5B3B"/>
    <w:rsid w:val="00EB6125"/>
    <w:rsid w:val="00EB6B66"/>
    <w:rsid w:val="00EB6C30"/>
    <w:rsid w:val="00EB78E3"/>
    <w:rsid w:val="00EB7E0A"/>
    <w:rsid w:val="00EC08A5"/>
    <w:rsid w:val="00EC10BB"/>
    <w:rsid w:val="00EC1C4B"/>
    <w:rsid w:val="00EC2D8D"/>
    <w:rsid w:val="00EC3BBB"/>
    <w:rsid w:val="00EC45D6"/>
    <w:rsid w:val="00EC62DC"/>
    <w:rsid w:val="00EC735A"/>
    <w:rsid w:val="00EC7D0F"/>
    <w:rsid w:val="00ED2F96"/>
    <w:rsid w:val="00ED7A88"/>
    <w:rsid w:val="00EE3D71"/>
    <w:rsid w:val="00EE667B"/>
    <w:rsid w:val="00EF13E4"/>
    <w:rsid w:val="00EF27FE"/>
    <w:rsid w:val="00EF31FF"/>
    <w:rsid w:val="00EF36C8"/>
    <w:rsid w:val="00EF3E15"/>
    <w:rsid w:val="00EF668A"/>
    <w:rsid w:val="00EF69BB"/>
    <w:rsid w:val="00F06F33"/>
    <w:rsid w:val="00F07862"/>
    <w:rsid w:val="00F07C92"/>
    <w:rsid w:val="00F07FB6"/>
    <w:rsid w:val="00F10486"/>
    <w:rsid w:val="00F115F8"/>
    <w:rsid w:val="00F16B53"/>
    <w:rsid w:val="00F20135"/>
    <w:rsid w:val="00F20A30"/>
    <w:rsid w:val="00F2104F"/>
    <w:rsid w:val="00F24C44"/>
    <w:rsid w:val="00F252DA"/>
    <w:rsid w:val="00F318BE"/>
    <w:rsid w:val="00F32880"/>
    <w:rsid w:val="00F33297"/>
    <w:rsid w:val="00F343FB"/>
    <w:rsid w:val="00F344A4"/>
    <w:rsid w:val="00F34D8A"/>
    <w:rsid w:val="00F3540C"/>
    <w:rsid w:val="00F359FE"/>
    <w:rsid w:val="00F37B3C"/>
    <w:rsid w:val="00F42159"/>
    <w:rsid w:val="00F4256E"/>
    <w:rsid w:val="00F4283D"/>
    <w:rsid w:val="00F42D30"/>
    <w:rsid w:val="00F42D9D"/>
    <w:rsid w:val="00F42EE1"/>
    <w:rsid w:val="00F43EC8"/>
    <w:rsid w:val="00F43FFC"/>
    <w:rsid w:val="00F50FED"/>
    <w:rsid w:val="00F52100"/>
    <w:rsid w:val="00F55EE6"/>
    <w:rsid w:val="00F57ADD"/>
    <w:rsid w:val="00F61AC1"/>
    <w:rsid w:val="00F6239A"/>
    <w:rsid w:val="00F62402"/>
    <w:rsid w:val="00F6314D"/>
    <w:rsid w:val="00F64141"/>
    <w:rsid w:val="00F65464"/>
    <w:rsid w:val="00F6589E"/>
    <w:rsid w:val="00F67508"/>
    <w:rsid w:val="00F7055E"/>
    <w:rsid w:val="00F715FD"/>
    <w:rsid w:val="00F71FC9"/>
    <w:rsid w:val="00F73B48"/>
    <w:rsid w:val="00F74D7B"/>
    <w:rsid w:val="00F74F51"/>
    <w:rsid w:val="00F750B6"/>
    <w:rsid w:val="00F76DBD"/>
    <w:rsid w:val="00F842AD"/>
    <w:rsid w:val="00F86D56"/>
    <w:rsid w:val="00F87666"/>
    <w:rsid w:val="00F87765"/>
    <w:rsid w:val="00F90C64"/>
    <w:rsid w:val="00F914EB"/>
    <w:rsid w:val="00F91A54"/>
    <w:rsid w:val="00F91B40"/>
    <w:rsid w:val="00F91B85"/>
    <w:rsid w:val="00F92245"/>
    <w:rsid w:val="00F93D92"/>
    <w:rsid w:val="00F96C99"/>
    <w:rsid w:val="00F96E98"/>
    <w:rsid w:val="00F97616"/>
    <w:rsid w:val="00F9790D"/>
    <w:rsid w:val="00F97C83"/>
    <w:rsid w:val="00FA06C4"/>
    <w:rsid w:val="00FA3B17"/>
    <w:rsid w:val="00FA4735"/>
    <w:rsid w:val="00FA5407"/>
    <w:rsid w:val="00FA5E8D"/>
    <w:rsid w:val="00FA5F3D"/>
    <w:rsid w:val="00FA6113"/>
    <w:rsid w:val="00FB2A78"/>
    <w:rsid w:val="00FB399E"/>
    <w:rsid w:val="00FB5068"/>
    <w:rsid w:val="00FB5E1B"/>
    <w:rsid w:val="00FB7F50"/>
    <w:rsid w:val="00FC1C8E"/>
    <w:rsid w:val="00FC2A85"/>
    <w:rsid w:val="00FC2C40"/>
    <w:rsid w:val="00FC36D3"/>
    <w:rsid w:val="00FC3B87"/>
    <w:rsid w:val="00FC3D92"/>
    <w:rsid w:val="00FC40AF"/>
    <w:rsid w:val="00FC4D0B"/>
    <w:rsid w:val="00FC7DD3"/>
    <w:rsid w:val="00FD0A16"/>
    <w:rsid w:val="00FD332A"/>
    <w:rsid w:val="00FD47AC"/>
    <w:rsid w:val="00FD4BBD"/>
    <w:rsid w:val="00FD6708"/>
    <w:rsid w:val="00FD71D7"/>
    <w:rsid w:val="00FE115C"/>
    <w:rsid w:val="00FE1232"/>
    <w:rsid w:val="00FE28A7"/>
    <w:rsid w:val="00FE3D7D"/>
    <w:rsid w:val="00FE6DCF"/>
    <w:rsid w:val="00FF0841"/>
    <w:rsid w:val="00FF1E5B"/>
    <w:rsid w:val="00FF2451"/>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paragraph" w:styleId="TOCHeading">
    <w:name w:val="TOC Heading"/>
    <w:basedOn w:val="Heading1"/>
    <w:next w:val="Normal"/>
    <w:uiPriority w:val="39"/>
    <w:unhideWhenUsed/>
    <w:qFormat/>
    <w:rsid w:val="00D404F8"/>
    <w:pPr>
      <w:keepLines/>
      <w:spacing w:before="240"/>
      <w:outlineLvl w:val="9"/>
    </w:pPr>
    <w:rPr>
      <w:rFonts w:asciiTheme="majorHAnsi" w:eastAsiaTheme="majorEastAsia" w:hAnsiTheme="majorHAnsi" w:cstheme="majorBidi"/>
      <w:b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BB6DE-E082-4769-A6BB-209496B3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385</TotalTime>
  <Pages>7</Pages>
  <Words>3150</Words>
  <Characters>17959</Characters>
  <Application>Microsoft Office Word</Application>
  <DocSecurity>0</DocSecurity>
  <Lines>149</Lines>
  <Paragraphs>42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21067</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احمد حسنی</cp:lastModifiedBy>
  <cp:revision>15</cp:revision>
  <cp:lastPrinted>2024-12-09T15:42:00Z</cp:lastPrinted>
  <dcterms:created xsi:type="dcterms:W3CDTF">2024-12-09T04:48:00Z</dcterms:created>
  <dcterms:modified xsi:type="dcterms:W3CDTF">2024-12-14T15:10:00Z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