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432B9" w:rsidRDefault="001432B9" w:rsidP="001432B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rsidR="001432B9" w:rsidRDefault="001432B9" w:rsidP="001432B9">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40</w:t>
      </w:r>
      <w:r>
        <w:rPr>
          <w:rFonts w:ascii="IRANSans" w:hAnsi="IRANSans" w:cs="IRANSans" w:hint="cs"/>
          <w:b/>
          <w:bCs/>
          <w:color w:val="C00000"/>
          <w:sz w:val="28"/>
          <w:shd w:val="clear" w:color="auto" w:fill="FFFFFF"/>
          <w:rtl/>
          <w:lang w:val="x-none"/>
        </w:rPr>
        <w:t>201</w:t>
      </w:r>
    </w:p>
    <w:p w:rsidR="001432B9" w:rsidRDefault="001432B9" w:rsidP="001432B9">
      <w:pPr>
        <w:autoSpaceDE w:val="0"/>
        <w:autoSpaceDN w:val="0"/>
        <w:adjustRightInd w:val="0"/>
        <w:spacing w:line="240" w:lineRule="auto"/>
        <w:rPr>
          <w:rFonts w:ascii="IRANSans" w:hAnsi="IRANSans" w:cs="IRANSans" w:hint="c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104</w:t>
      </w:r>
    </w:p>
    <w:p w:rsidR="001432B9" w:rsidRDefault="001432B9" w:rsidP="001432B9">
      <w:pPr>
        <w:pStyle w:val="TOC1"/>
        <w:rPr>
          <w:rFonts w:asciiTheme="minorHAnsi" w:eastAsiaTheme="minorEastAsia" w:hAnsiTheme="minorHAnsi" w:cstheme="minorBidi"/>
          <w:bCs/>
          <w:noProof/>
          <w:color w:val="auto"/>
          <w:szCs w:val="22"/>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rsidR="00C91EB6" w:rsidRPr="00C91EB6" w:rsidRDefault="001432B9" w:rsidP="001432B9">
      <w:pPr>
        <w:pStyle w:val="TOC1"/>
      </w:pPr>
      <w:r>
        <w:rPr>
          <w:rStyle w:val="Hyperlink"/>
          <w:rFonts w:hint="cs"/>
          <w:noProof/>
          <w:rtl/>
        </w:rPr>
        <w:fldChar w:fldCharType="end"/>
      </w:r>
    </w:p>
    <w:p w:rsidR="003A393A" w:rsidRDefault="003A393A" w:rsidP="002D45F1">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2D45F1">
        <w:rPr>
          <w:rFonts w:ascii="IRBadr" w:hAnsi="IRBadr" w:cs="IRBadr" w:hint="cs"/>
          <w:sz w:val="34"/>
          <w:rtl/>
        </w:rPr>
        <w:t>عبارت عروه و حواشی آن</w:t>
      </w:r>
    </w:p>
    <w:p w:rsidR="00F72246" w:rsidRDefault="00F72246" w:rsidP="00730523">
      <w:pPr>
        <w:pStyle w:val="Heading10"/>
        <w:ind w:firstLine="397"/>
        <w:jc w:val="both"/>
        <w:rPr>
          <w:rStyle w:val="Emphasis"/>
          <w:rtl/>
        </w:rPr>
      </w:pPr>
    </w:p>
    <w:p w:rsidR="00EB7D96" w:rsidRPr="001432B9" w:rsidRDefault="00EB7D96" w:rsidP="00EB7D96">
      <w:pPr>
        <w:ind w:firstLine="397"/>
        <w:rPr>
          <w:rFonts w:ascii="IRBadr" w:hAnsi="IRBadr" w:cs="IRBadr"/>
          <w:b/>
          <w:bCs/>
          <w:color w:val="00B050"/>
          <w:sz w:val="34"/>
        </w:rPr>
      </w:pPr>
      <w:bookmarkStart w:id="2" w:name="FehStart"/>
      <w:bookmarkStart w:id="3" w:name="_GoBack"/>
      <w:bookmarkEnd w:id="2"/>
      <w:r w:rsidRPr="001432B9">
        <w:rPr>
          <w:rFonts w:ascii="IRBadr" w:hAnsi="IRBadr" w:cs="IRBadr"/>
          <w:b/>
          <w:bCs/>
          <w:color w:val="00B050"/>
          <w:sz w:val="34"/>
          <w:rtl/>
        </w:rPr>
        <w:t>أعوذ باللّه من الشیطان الرجیم</w:t>
      </w:r>
      <w:r w:rsidRPr="001432B9">
        <w:rPr>
          <w:rFonts w:ascii="IRBadr" w:hAnsi="IRBadr" w:cs="IRBadr" w:hint="cs"/>
          <w:b/>
          <w:bCs/>
          <w:color w:val="00B050"/>
          <w:sz w:val="34"/>
          <w:rtl/>
        </w:rPr>
        <w:t>.</w:t>
      </w:r>
      <w:r w:rsidRPr="001432B9">
        <w:rPr>
          <w:rFonts w:ascii="IRBadr" w:hAnsi="IRBadr" w:cs="IRBadr"/>
          <w:b/>
          <w:bCs/>
          <w:color w:val="00B050"/>
          <w:sz w:val="34"/>
          <w:rtl/>
        </w:rPr>
        <w:t xml:space="preserve"> بسم ‌اللّه الرحمن الرحیم</w:t>
      </w:r>
      <w:r w:rsidRPr="001432B9">
        <w:rPr>
          <w:rFonts w:ascii="IRBadr" w:hAnsi="IRBadr" w:cs="IRBadr" w:hint="cs"/>
          <w:b/>
          <w:bCs/>
          <w:color w:val="00B050"/>
          <w:sz w:val="34"/>
          <w:rtl/>
        </w:rPr>
        <w:t>، و به نستعین؛ إنّه خیر ناصر و معین.</w:t>
      </w:r>
      <w:r w:rsidRPr="001432B9">
        <w:rPr>
          <w:rFonts w:ascii="IRBadr" w:hAnsi="IRBadr" w:cs="IRBadr"/>
          <w:b/>
          <w:bCs/>
          <w:color w:val="00B050"/>
          <w:sz w:val="34"/>
          <w:rtl/>
        </w:rPr>
        <w:t xml:space="preserve"> الحمد للّه ربّ العالمین</w:t>
      </w:r>
      <w:r w:rsidRPr="001432B9">
        <w:rPr>
          <w:rFonts w:ascii="IRBadr" w:hAnsi="IRBadr" w:cs="IRBadr" w:hint="cs"/>
          <w:b/>
          <w:bCs/>
          <w:color w:val="00B050"/>
          <w:sz w:val="34"/>
          <w:rtl/>
        </w:rPr>
        <w:t>،</w:t>
      </w:r>
      <w:r w:rsidRPr="001432B9">
        <w:rPr>
          <w:rFonts w:ascii="IRBadr" w:hAnsi="IRBadr" w:cs="IRBadr"/>
          <w:b/>
          <w:bCs/>
          <w:color w:val="00B050"/>
          <w:sz w:val="34"/>
          <w:rtl/>
        </w:rPr>
        <w:t xml:space="preserve"> و صلّی اللّه علی سیّدنا </w:t>
      </w:r>
      <w:r w:rsidRPr="001432B9">
        <w:rPr>
          <w:rFonts w:ascii="IRBadr" w:hAnsi="IRBadr" w:cs="IRBadr" w:hint="cs"/>
          <w:b/>
          <w:bCs/>
          <w:color w:val="00B050"/>
          <w:sz w:val="34"/>
          <w:rtl/>
        </w:rPr>
        <w:t xml:space="preserve">و نبیّنا </w:t>
      </w:r>
      <w:r w:rsidRPr="001432B9">
        <w:rPr>
          <w:rFonts w:ascii="IRBadr" w:hAnsi="IRBadr" w:cs="IRBadr"/>
          <w:b/>
          <w:bCs/>
          <w:color w:val="00B050"/>
          <w:sz w:val="34"/>
          <w:rtl/>
        </w:rPr>
        <w:t>محمّد و آله الطاهرین</w:t>
      </w:r>
      <w:r w:rsidRPr="001432B9">
        <w:rPr>
          <w:rFonts w:ascii="IRBadr" w:hAnsi="IRBadr" w:cs="IRBadr" w:hint="cs"/>
          <w:b/>
          <w:bCs/>
          <w:color w:val="00B050"/>
          <w:sz w:val="34"/>
          <w:rtl/>
        </w:rPr>
        <w:t>،</w:t>
      </w:r>
      <w:r w:rsidRPr="001432B9">
        <w:rPr>
          <w:rFonts w:ascii="IRBadr" w:hAnsi="IRBadr" w:cs="IRBadr"/>
          <w:b/>
          <w:bCs/>
          <w:color w:val="00B050"/>
          <w:sz w:val="34"/>
          <w:rtl/>
        </w:rPr>
        <w:t xml:space="preserve"> و اللعن علی أعدائهم أجمعین</w:t>
      </w:r>
      <w:r w:rsidRPr="001432B9">
        <w:rPr>
          <w:rFonts w:ascii="IRBadr" w:hAnsi="IRBadr" w:cs="IRBadr" w:hint="cs"/>
          <w:b/>
          <w:bCs/>
          <w:color w:val="00B050"/>
          <w:sz w:val="34"/>
          <w:rtl/>
        </w:rPr>
        <w:t xml:space="preserve"> من الآن إلی قیام یوم الدین</w:t>
      </w:r>
      <w:r w:rsidRPr="001432B9">
        <w:rPr>
          <w:rFonts w:ascii="IRBadr" w:hAnsi="IRBadr" w:cs="IRBadr"/>
          <w:b/>
          <w:bCs/>
          <w:color w:val="00B050"/>
          <w:sz w:val="34"/>
          <w:rtl/>
        </w:rPr>
        <w:t>.</w:t>
      </w:r>
    </w:p>
    <w:p w:rsidR="0022010B" w:rsidRDefault="0022010B" w:rsidP="0022010B">
      <w:pPr>
        <w:pStyle w:val="Heading1"/>
        <w:rPr>
          <w:rtl/>
        </w:rPr>
      </w:pPr>
      <w:bookmarkStart w:id="4" w:name="_Toc195984270"/>
      <w:bookmarkStart w:id="5" w:name="_Toc196050209"/>
      <w:bookmarkStart w:id="6" w:name="_Toc196050234"/>
      <w:bookmarkStart w:id="7" w:name="_Toc196078320"/>
      <w:bookmarkEnd w:id="3"/>
      <w:r>
        <w:rPr>
          <w:rFonts w:hint="cs"/>
          <w:rtl/>
        </w:rPr>
        <w:t>استثناء مئونه در زکات</w:t>
      </w:r>
      <w:bookmarkEnd w:id="4"/>
      <w:bookmarkEnd w:id="5"/>
      <w:bookmarkEnd w:id="6"/>
      <w:bookmarkEnd w:id="7"/>
    </w:p>
    <w:p w:rsidR="004202CB" w:rsidRDefault="002128B6" w:rsidP="002128B6">
      <w:pPr>
        <w:rPr>
          <w:rFonts w:ascii="IRBadr" w:hAnsi="IRBadr" w:cs="IRBadr"/>
          <w:sz w:val="34"/>
          <w:rtl/>
        </w:rPr>
      </w:pPr>
      <w:r>
        <w:rPr>
          <w:rFonts w:ascii="IRBadr" w:hAnsi="IRBadr" w:cs="IRBadr" w:hint="cs"/>
          <w:sz w:val="34"/>
          <w:rtl/>
        </w:rPr>
        <w:t>بحث در استثناء</w:t>
      </w:r>
      <w:r w:rsidR="004202CB">
        <w:rPr>
          <w:rFonts w:ascii="IRBadr" w:hAnsi="IRBadr" w:cs="IRBadr" w:hint="cs"/>
          <w:sz w:val="34"/>
          <w:rtl/>
        </w:rPr>
        <w:t xml:space="preserve"> مئونه بود. </w:t>
      </w:r>
      <w:r>
        <w:rPr>
          <w:rFonts w:ascii="IRBadr" w:hAnsi="IRBadr" w:cs="IRBadr" w:hint="cs"/>
          <w:sz w:val="34"/>
          <w:rtl/>
        </w:rPr>
        <w:t>دو مساله در این بحث مطرح است.اول آنکه آیا مئونه از زکات استثنا می‌شود یا خیر، و دوم آنکه آیا مئونه از نصاب هم استثناء می‌شود، یا خیر.</w:t>
      </w:r>
    </w:p>
    <w:p w:rsidR="000D7224" w:rsidRDefault="002128B6" w:rsidP="003A3B91">
      <w:pPr>
        <w:rPr>
          <w:rFonts w:ascii="IRBadr" w:hAnsi="IRBadr" w:cs="IRBadr"/>
          <w:sz w:val="34"/>
          <w:rtl/>
        </w:rPr>
      </w:pPr>
      <w:r>
        <w:rPr>
          <w:rFonts w:ascii="IRBadr" w:hAnsi="IRBadr" w:cs="IRBadr" w:hint="cs"/>
          <w:sz w:val="34"/>
          <w:rtl/>
        </w:rPr>
        <w:t xml:space="preserve">در رابطه با آنکه مئونه از نصاب هم استثنا می‌شود یا خیر، مراد از مئونه، مئونه پیش از تعلّق زکات است؛ ولی در بحث از استثناء مئونه از زکات، هم مئونه‌های پیش از تعلّق زکات و هم مئونه‌های پس از آن </w:t>
      </w:r>
      <w:r w:rsidR="003A3B91">
        <w:rPr>
          <w:rFonts w:ascii="IRBadr" w:hAnsi="IRBadr" w:cs="IRBadr" w:hint="cs"/>
          <w:sz w:val="34"/>
          <w:rtl/>
        </w:rPr>
        <w:t xml:space="preserve">تا زمان اخراج، </w:t>
      </w:r>
      <w:r>
        <w:rPr>
          <w:rFonts w:ascii="IRBadr" w:hAnsi="IRBadr" w:cs="IRBadr" w:hint="cs"/>
          <w:sz w:val="34"/>
          <w:rtl/>
        </w:rPr>
        <w:t>محل بحث است.</w:t>
      </w:r>
    </w:p>
    <w:p w:rsidR="000D7224" w:rsidRDefault="000D7224" w:rsidP="000D7224">
      <w:pPr>
        <w:pStyle w:val="Heading2"/>
        <w:rPr>
          <w:rtl/>
        </w:rPr>
      </w:pPr>
      <w:bookmarkStart w:id="8" w:name="_Toc196078321"/>
      <w:r>
        <w:rPr>
          <w:rFonts w:hint="cs"/>
          <w:rtl/>
        </w:rPr>
        <w:t>کلمات فقها در مساله</w:t>
      </w:r>
      <w:bookmarkEnd w:id="8"/>
    </w:p>
    <w:p w:rsidR="003A3B91" w:rsidRDefault="003A3B91" w:rsidP="003A3B91">
      <w:pPr>
        <w:rPr>
          <w:rFonts w:ascii="IRBadr" w:hAnsi="IRBadr" w:cs="IRBadr"/>
          <w:sz w:val="34"/>
          <w:rtl/>
        </w:rPr>
      </w:pPr>
      <w:r>
        <w:rPr>
          <w:rFonts w:ascii="IRBadr" w:hAnsi="IRBadr" w:cs="IRBadr" w:hint="cs"/>
          <w:sz w:val="34"/>
          <w:rtl/>
        </w:rPr>
        <w:t>یکی از مسائل مهم در این مساله، اجماع است. اقوال علما باید مورد بررسی قرار گیرد تا مشخص شود آیا تفصیلی در مساله وجود دارد یا خیر، و پس از آن توجه شود که آیا این تفصیل بر خلاف اجماع مرکّب به شمار می‌رود یا آنکه چنین نیست. اقوال علما در این مساله تاثیرگذار است. از این رو به ذکر کلمات ایشان می‌پردازیم. کلام کاشف الغطاء در جلسه گذشته بیان شد. ایشان ذکر نمود که اختلافی نیست در آنکه بذر و خراج استثناء می‌شود. در این مورد نیز باید کلمات علما مورد دقت قرار گیرد که آیا این مساله مسلّم است یا خیر.</w:t>
      </w:r>
    </w:p>
    <w:p w:rsidR="000D7224" w:rsidRDefault="000D7224" w:rsidP="000D7224">
      <w:pPr>
        <w:pStyle w:val="Heading3"/>
        <w:rPr>
          <w:rtl/>
        </w:rPr>
      </w:pPr>
      <w:bookmarkStart w:id="9" w:name="_Toc196078322"/>
      <w:r>
        <w:rPr>
          <w:rFonts w:hint="cs"/>
          <w:rtl/>
        </w:rPr>
        <w:t>عبارت فقه الرضا</w:t>
      </w:r>
      <w:bookmarkEnd w:id="9"/>
    </w:p>
    <w:p w:rsidR="003A3B91" w:rsidRDefault="003A3B91" w:rsidP="003A3B91">
      <w:pPr>
        <w:rPr>
          <w:rFonts w:ascii="IRBadr" w:hAnsi="IRBadr" w:cs="IRBadr"/>
          <w:sz w:val="34"/>
          <w:rtl/>
        </w:rPr>
      </w:pPr>
      <w:r>
        <w:rPr>
          <w:rFonts w:ascii="IRBadr" w:hAnsi="IRBadr" w:cs="IRBadr" w:hint="cs"/>
          <w:sz w:val="34"/>
          <w:rtl/>
        </w:rPr>
        <w:t>در فقه الرضا آمده است:</w:t>
      </w:r>
    </w:p>
    <w:p w:rsidR="003A3B91" w:rsidRDefault="003A3B91" w:rsidP="003A3B91">
      <w:pPr>
        <w:rPr>
          <w:rFonts w:ascii="IRBadr" w:hAnsi="IRBadr" w:cs="IRBadr"/>
          <w:sz w:val="34"/>
          <w:rtl/>
        </w:rPr>
      </w:pPr>
      <w:r w:rsidRPr="003A3B91">
        <w:rPr>
          <w:rFonts w:ascii="IRBadr" w:hAnsi="IRBadr" w:cs="IRBadr" w:hint="cs"/>
          <w:color w:val="000080"/>
          <w:sz w:val="34"/>
          <w:rtl/>
        </w:rPr>
        <w:lastRenderedPageBreak/>
        <w:t>«و</w:t>
      </w:r>
      <w:r w:rsidRPr="003A3B91">
        <w:rPr>
          <w:rFonts w:ascii="IRBadr" w:hAnsi="IRBadr" w:cs="IRBadr"/>
          <w:color w:val="000080"/>
          <w:sz w:val="34"/>
          <w:rtl/>
        </w:rPr>
        <w:t xml:space="preserve"> </w:t>
      </w:r>
      <w:r w:rsidRPr="003A3B91">
        <w:rPr>
          <w:rFonts w:ascii="IRBadr" w:hAnsi="IRBadr" w:cs="IRBadr" w:hint="cs"/>
          <w:color w:val="000080"/>
          <w:sz w:val="34"/>
          <w:rtl/>
        </w:rPr>
        <w:t>ليس</w:t>
      </w:r>
      <w:r w:rsidRPr="003A3B91">
        <w:rPr>
          <w:rFonts w:ascii="IRBadr" w:hAnsi="IRBadr" w:cs="IRBadr"/>
          <w:color w:val="000080"/>
          <w:sz w:val="34"/>
          <w:rtl/>
        </w:rPr>
        <w:t xml:space="preserve"> </w:t>
      </w:r>
      <w:r w:rsidRPr="003A3B91">
        <w:rPr>
          <w:rFonts w:ascii="IRBadr" w:hAnsi="IRBadr" w:cs="IRBadr" w:hint="cs"/>
          <w:color w:val="000080"/>
          <w:sz w:val="34"/>
          <w:rtl/>
        </w:rPr>
        <w:t>في</w:t>
      </w:r>
      <w:r w:rsidRPr="003A3B91">
        <w:rPr>
          <w:rFonts w:ascii="IRBadr" w:hAnsi="IRBadr" w:cs="IRBadr"/>
          <w:color w:val="000080"/>
          <w:sz w:val="34"/>
          <w:rtl/>
        </w:rPr>
        <w:t xml:space="preserve"> </w:t>
      </w:r>
      <w:r w:rsidRPr="003A3B91">
        <w:rPr>
          <w:rFonts w:ascii="IRBadr" w:hAnsi="IRBadr" w:cs="IRBadr" w:hint="cs"/>
          <w:color w:val="000080"/>
          <w:sz w:val="34"/>
          <w:rtl/>
        </w:rPr>
        <w:t>الحنطة</w:t>
      </w:r>
      <w:r w:rsidRPr="003A3B91">
        <w:rPr>
          <w:rFonts w:ascii="IRBadr" w:hAnsi="IRBadr" w:cs="IRBadr"/>
          <w:color w:val="000080"/>
          <w:sz w:val="34"/>
          <w:rtl/>
        </w:rPr>
        <w:t xml:space="preserve"> </w:t>
      </w:r>
      <w:r w:rsidRPr="003A3B91">
        <w:rPr>
          <w:rFonts w:ascii="IRBadr" w:hAnsi="IRBadr" w:cs="IRBadr" w:hint="cs"/>
          <w:color w:val="000080"/>
          <w:sz w:val="34"/>
          <w:rtl/>
        </w:rPr>
        <w:t>و</w:t>
      </w:r>
      <w:r w:rsidRPr="003A3B91">
        <w:rPr>
          <w:rFonts w:ascii="IRBadr" w:hAnsi="IRBadr" w:cs="IRBadr"/>
          <w:color w:val="000080"/>
          <w:sz w:val="34"/>
          <w:rtl/>
        </w:rPr>
        <w:t xml:space="preserve"> </w:t>
      </w:r>
      <w:r w:rsidRPr="003A3B91">
        <w:rPr>
          <w:rFonts w:ascii="IRBadr" w:hAnsi="IRBadr" w:cs="IRBadr" w:hint="cs"/>
          <w:color w:val="000080"/>
          <w:sz w:val="34"/>
          <w:rtl/>
        </w:rPr>
        <w:t>الشعير</w:t>
      </w:r>
      <w:r w:rsidRPr="003A3B91">
        <w:rPr>
          <w:rFonts w:ascii="IRBadr" w:hAnsi="IRBadr" w:cs="IRBadr"/>
          <w:color w:val="000080"/>
          <w:sz w:val="34"/>
          <w:rtl/>
        </w:rPr>
        <w:t xml:space="preserve"> </w:t>
      </w:r>
      <w:r w:rsidRPr="003A3B91">
        <w:rPr>
          <w:rFonts w:ascii="IRBadr" w:hAnsi="IRBadr" w:cs="IRBadr" w:hint="cs"/>
          <w:color w:val="000080"/>
          <w:sz w:val="34"/>
          <w:rtl/>
        </w:rPr>
        <w:t>شي‌ء</w:t>
      </w:r>
      <w:r w:rsidRPr="003A3B91">
        <w:rPr>
          <w:rFonts w:ascii="IRBadr" w:hAnsi="IRBadr" w:cs="IRBadr"/>
          <w:color w:val="000080"/>
          <w:sz w:val="34"/>
          <w:rtl/>
        </w:rPr>
        <w:t xml:space="preserve"> </w:t>
      </w:r>
      <w:r w:rsidRPr="003A3B91">
        <w:rPr>
          <w:rFonts w:ascii="IRBadr" w:hAnsi="IRBadr" w:cs="IRBadr" w:hint="cs"/>
          <w:color w:val="000080"/>
          <w:sz w:val="34"/>
          <w:rtl/>
        </w:rPr>
        <w:t>إلى</w:t>
      </w:r>
      <w:r w:rsidRPr="003A3B91">
        <w:rPr>
          <w:rFonts w:ascii="IRBadr" w:hAnsi="IRBadr" w:cs="IRBadr"/>
          <w:color w:val="000080"/>
          <w:sz w:val="34"/>
          <w:rtl/>
        </w:rPr>
        <w:t xml:space="preserve"> </w:t>
      </w:r>
      <w:r w:rsidRPr="003A3B91">
        <w:rPr>
          <w:rFonts w:ascii="IRBadr" w:hAnsi="IRBadr" w:cs="IRBadr" w:hint="cs"/>
          <w:color w:val="000080"/>
          <w:sz w:val="34"/>
          <w:rtl/>
        </w:rPr>
        <w:t>أن</w:t>
      </w:r>
      <w:r w:rsidRPr="003A3B91">
        <w:rPr>
          <w:rFonts w:ascii="IRBadr" w:hAnsi="IRBadr" w:cs="IRBadr"/>
          <w:color w:val="000080"/>
          <w:sz w:val="34"/>
          <w:rtl/>
        </w:rPr>
        <w:t xml:space="preserve"> </w:t>
      </w:r>
      <w:r w:rsidRPr="003A3B91">
        <w:rPr>
          <w:rFonts w:ascii="IRBadr" w:hAnsi="IRBadr" w:cs="IRBadr" w:hint="cs"/>
          <w:color w:val="000080"/>
          <w:sz w:val="34"/>
          <w:rtl/>
        </w:rPr>
        <w:t>يبلغ</w:t>
      </w:r>
      <w:r w:rsidRPr="003A3B91">
        <w:rPr>
          <w:rFonts w:ascii="IRBadr" w:hAnsi="IRBadr" w:cs="IRBadr"/>
          <w:color w:val="000080"/>
          <w:sz w:val="34"/>
          <w:rtl/>
        </w:rPr>
        <w:t xml:space="preserve"> </w:t>
      </w:r>
      <w:r w:rsidRPr="003A3B91">
        <w:rPr>
          <w:rFonts w:ascii="IRBadr" w:hAnsi="IRBadr" w:cs="IRBadr" w:hint="cs"/>
          <w:color w:val="000080"/>
          <w:sz w:val="34"/>
          <w:rtl/>
        </w:rPr>
        <w:t>خمسة</w:t>
      </w:r>
      <w:r w:rsidRPr="003A3B91">
        <w:rPr>
          <w:rFonts w:ascii="IRBadr" w:hAnsi="IRBadr" w:cs="IRBadr"/>
          <w:color w:val="000080"/>
          <w:sz w:val="34"/>
          <w:rtl/>
        </w:rPr>
        <w:t xml:space="preserve"> </w:t>
      </w:r>
      <w:r w:rsidRPr="003A3B91">
        <w:rPr>
          <w:rFonts w:ascii="IRBadr" w:hAnsi="IRBadr" w:cs="IRBadr" w:hint="cs"/>
          <w:color w:val="000080"/>
          <w:sz w:val="34"/>
          <w:rtl/>
        </w:rPr>
        <w:t>أوسق ....</w:t>
      </w:r>
      <w:r w:rsidRPr="003A3B91">
        <w:rPr>
          <w:rFonts w:ascii="IRBadr" w:hAnsi="IRBadr" w:cs="IRBadr"/>
          <w:color w:val="000080"/>
          <w:sz w:val="34"/>
          <w:rtl/>
        </w:rPr>
        <w:t xml:space="preserve"> </w:t>
      </w:r>
      <w:r w:rsidRPr="003A3B91">
        <w:rPr>
          <w:rFonts w:ascii="IRBadr" w:hAnsi="IRBadr" w:cs="IRBadr" w:hint="cs"/>
          <w:color w:val="000080"/>
          <w:sz w:val="34"/>
          <w:rtl/>
        </w:rPr>
        <w:t>فإذا</w:t>
      </w:r>
      <w:r w:rsidRPr="003A3B91">
        <w:rPr>
          <w:rFonts w:ascii="IRBadr" w:hAnsi="IRBadr" w:cs="IRBadr"/>
          <w:color w:val="000080"/>
          <w:sz w:val="34"/>
          <w:rtl/>
        </w:rPr>
        <w:t xml:space="preserve"> </w:t>
      </w:r>
      <w:r w:rsidRPr="003A3B91">
        <w:rPr>
          <w:rFonts w:ascii="IRBadr" w:hAnsi="IRBadr" w:cs="IRBadr" w:hint="cs"/>
          <w:color w:val="000080"/>
          <w:sz w:val="34"/>
          <w:rtl/>
        </w:rPr>
        <w:t>بلغ</w:t>
      </w:r>
      <w:r w:rsidRPr="003A3B91">
        <w:rPr>
          <w:rFonts w:ascii="IRBadr" w:hAnsi="IRBadr" w:cs="IRBadr"/>
          <w:color w:val="000080"/>
          <w:sz w:val="34"/>
          <w:rtl/>
        </w:rPr>
        <w:t xml:space="preserve"> </w:t>
      </w:r>
      <w:r w:rsidRPr="003A3B91">
        <w:rPr>
          <w:rFonts w:ascii="IRBadr" w:hAnsi="IRBadr" w:cs="IRBadr" w:hint="cs"/>
          <w:color w:val="000080"/>
          <w:sz w:val="34"/>
          <w:rtl/>
        </w:rPr>
        <w:t>ذلك</w:t>
      </w:r>
      <w:r w:rsidRPr="003A3B91">
        <w:rPr>
          <w:rFonts w:ascii="IRBadr" w:hAnsi="IRBadr" w:cs="IRBadr"/>
          <w:color w:val="000080"/>
          <w:sz w:val="34"/>
          <w:rtl/>
        </w:rPr>
        <w:t xml:space="preserve"> </w:t>
      </w:r>
      <w:r w:rsidRPr="003A3B91">
        <w:rPr>
          <w:rFonts w:ascii="IRBadr" w:hAnsi="IRBadr" w:cs="IRBadr" w:hint="cs"/>
          <w:color w:val="000080"/>
          <w:sz w:val="34"/>
          <w:rtl/>
        </w:rPr>
        <w:t>و</w:t>
      </w:r>
      <w:r w:rsidRPr="003A3B91">
        <w:rPr>
          <w:rFonts w:ascii="IRBadr" w:hAnsi="IRBadr" w:cs="IRBadr"/>
          <w:color w:val="000080"/>
          <w:sz w:val="34"/>
          <w:rtl/>
        </w:rPr>
        <w:t xml:space="preserve"> </w:t>
      </w:r>
      <w:r w:rsidRPr="003A3B91">
        <w:rPr>
          <w:rFonts w:ascii="IRBadr" w:hAnsi="IRBadr" w:cs="IRBadr" w:hint="cs"/>
          <w:color w:val="000080"/>
          <w:sz w:val="34"/>
          <w:rtl/>
        </w:rPr>
        <w:t>حصل</w:t>
      </w:r>
      <w:r w:rsidRPr="003A3B91">
        <w:rPr>
          <w:rFonts w:ascii="IRBadr" w:hAnsi="IRBadr" w:cs="IRBadr"/>
          <w:color w:val="000080"/>
          <w:sz w:val="34"/>
          <w:rtl/>
        </w:rPr>
        <w:t xml:space="preserve"> </w:t>
      </w:r>
      <w:r w:rsidRPr="003A3B91">
        <w:rPr>
          <w:rFonts w:ascii="IRBadr" w:hAnsi="IRBadr" w:cs="IRBadr" w:hint="cs"/>
          <w:color w:val="000080"/>
          <w:sz w:val="34"/>
          <w:rtl/>
        </w:rPr>
        <w:t>بغير</w:t>
      </w:r>
      <w:r w:rsidRPr="003A3B91">
        <w:rPr>
          <w:rFonts w:ascii="IRBadr" w:hAnsi="IRBadr" w:cs="IRBadr"/>
          <w:color w:val="000080"/>
          <w:sz w:val="34"/>
          <w:rtl/>
        </w:rPr>
        <w:t xml:space="preserve"> </w:t>
      </w:r>
      <w:r w:rsidRPr="003A3B91">
        <w:rPr>
          <w:rFonts w:ascii="IRBadr" w:hAnsi="IRBadr" w:cs="IRBadr" w:hint="cs"/>
          <w:color w:val="000080"/>
          <w:sz w:val="34"/>
          <w:rtl/>
        </w:rPr>
        <w:t>خراج</w:t>
      </w:r>
      <w:r w:rsidRPr="003A3B91">
        <w:rPr>
          <w:rFonts w:ascii="IRBadr" w:hAnsi="IRBadr" w:cs="IRBadr"/>
          <w:color w:val="000080"/>
          <w:sz w:val="34"/>
          <w:rtl/>
        </w:rPr>
        <w:t xml:space="preserve"> </w:t>
      </w:r>
      <w:r w:rsidRPr="003A3B91">
        <w:rPr>
          <w:rFonts w:ascii="IRBadr" w:hAnsi="IRBadr" w:cs="IRBadr" w:hint="cs"/>
          <w:color w:val="000080"/>
          <w:sz w:val="34"/>
          <w:rtl/>
        </w:rPr>
        <w:t>السلطان</w:t>
      </w:r>
      <w:r w:rsidRPr="003A3B91">
        <w:rPr>
          <w:rFonts w:ascii="IRBadr" w:hAnsi="IRBadr" w:cs="IRBadr"/>
          <w:color w:val="000080"/>
          <w:sz w:val="34"/>
          <w:rtl/>
        </w:rPr>
        <w:t xml:space="preserve"> </w:t>
      </w:r>
      <w:r w:rsidRPr="003A3B91">
        <w:rPr>
          <w:rFonts w:ascii="IRBadr" w:hAnsi="IRBadr" w:cs="IRBadr" w:hint="cs"/>
          <w:color w:val="000080"/>
          <w:sz w:val="34"/>
          <w:rtl/>
        </w:rPr>
        <w:t>و</w:t>
      </w:r>
      <w:r w:rsidRPr="003A3B91">
        <w:rPr>
          <w:rFonts w:ascii="IRBadr" w:hAnsi="IRBadr" w:cs="IRBadr"/>
          <w:color w:val="000080"/>
          <w:sz w:val="34"/>
          <w:rtl/>
        </w:rPr>
        <w:t xml:space="preserve"> </w:t>
      </w:r>
      <w:r w:rsidRPr="003A3B91">
        <w:rPr>
          <w:rFonts w:ascii="IRBadr" w:hAnsi="IRBadr" w:cs="IRBadr" w:hint="cs"/>
          <w:color w:val="000080"/>
          <w:sz w:val="34"/>
          <w:rtl/>
        </w:rPr>
        <w:t>مئونة</w:t>
      </w:r>
      <w:r w:rsidRPr="003A3B91">
        <w:rPr>
          <w:rFonts w:ascii="IRBadr" w:hAnsi="IRBadr" w:cs="IRBadr"/>
          <w:color w:val="000080"/>
          <w:sz w:val="34"/>
          <w:rtl/>
        </w:rPr>
        <w:t xml:space="preserve"> </w:t>
      </w:r>
      <w:r w:rsidRPr="003A3B91">
        <w:rPr>
          <w:rFonts w:ascii="IRBadr" w:hAnsi="IRBadr" w:cs="IRBadr" w:hint="cs"/>
          <w:color w:val="000080"/>
          <w:sz w:val="34"/>
          <w:rtl/>
        </w:rPr>
        <w:t>العمارة</w:t>
      </w:r>
      <w:r w:rsidRPr="003A3B91">
        <w:rPr>
          <w:rFonts w:ascii="IRBadr" w:hAnsi="IRBadr" w:cs="IRBadr"/>
          <w:color w:val="000080"/>
          <w:sz w:val="34"/>
          <w:rtl/>
        </w:rPr>
        <w:t xml:space="preserve"> </w:t>
      </w:r>
      <w:r w:rsidRPr="003A3B91">
        <w:rPr>
          <w:rFonts w:ascii="IRBadr" w:hAnsi="IRBadr" w:cs="IRBadr" w:hint="cs"/>
          <w:color w:val="000080"/>
          <w:sz w:val="34"/>
          <w:rtl/>
        </w:rPr>
        <w:t>للقرية</w:t>
      </w:r>
      <w:r w:rsidRPr="003A3B91">
        <w:rPr>
          <w:rFonts w:ascii="IRBadr" w:hAnsi="IRBadr" w:cs="IRBadr"/>
          <w:color w:val="000080"/>
          <w:sz w:val="34"/>
          <w:rtl/>
        </w:rPr>
        <w:t xml:space="preserve"> </w:t>
      </w:r>
      <w:r w:rsidRPr="003A3B91">
        <w:rPr>
          <w:rFonts w:ascii="IRBadr" w:hAnsi="IRBadr" w:cs="IRBadr" w:hint="cs"/>
          <w:color w:val="000080"/>
          <w:sz w:val="34"/>
          <w:rtl/>
        </w:rPr>
        <w:t>أخرج</w:t>
      </w:r>
      <w:r w:rsidRPr="003A3B91">
        <w:rPr>
          <w:rFonts w:ascii="IRBadr" w:hAnsi="IRBadr" w:cs="IRBadr"/>
          <w:color w:val="000080"/>
          <w:sz w:val="34"/>
          <w:rtl/>
        </w:rPr>
        <w:t xml:space="preserve"> </w:t>
      </w:r>
      <w:r w:rsidRPr="003A3B91">
        <w:rPr>
          <w:rFonts w:ascii="IRBadr" w:hAnsi="IRBadr" w:cs="IRBadr" w:hint="cs"/>
          <w:color w:val="000080"/>
          <w:sz w:val="34"/>
          <w:rtl/>
        </w:rPr>
        <w:t>منه</w:t>
      </w:r>
      <w:r w:rsidRPr="003A3B91">
        <w:rPr>
          <w:rFonts w:ascii="IRBadr" w:hAnsi="IRBadr" w:cs="IRBadr"/>
          <w:color w:val="000080"/>
          <w:sz w:val="34"/>
          <w:rtl/>
        </w:rPr>
        <w:t xml:space="preserve"> </w:t>
      </w:r>
      <w:r w:rsidRPr="003A3B91">
        <w:rPr>
          <w:rFonts w:ascii="IRBadr" w:hAnsi="IRBadr" w:cs="IRBadr" w:hint="cs"/>
          <w:color w:val="000080"/>
          <w:sz w:val="34"/>
          <w:rtl/>
        </w:rPr>
        <w:t>العشر»</w:t>
      </w:r>
      <w:r w:rsidR="008F50FD">
        <w:rPr>
          <w:rStyle w:val="FootnoteReference"/>
          <w:rFonts w:ascii="IRBadr" w:hAnsi="IRBadr" w:cs="IRBadr"/>
          <w:color w:val="000080"/>
          <w:sz w:val="34"/>
          <w:rtl/>
        </w:rPr>
        <w:footnoteReference w:id="1"/>
      </w:r>
      <w:r>
        <w:rPr>
          <w:rFonts w:ascii="IRBadr" w:hAnsi="IRBadr" w:cs="IRBadr" w:hint="cs"/>
          <w:sz w:val="34"/>
          <w:rtl/>
        </w:rPr>
        <w:t>.</w:t>
      </w:r>
    </w:p>
    <w:p w:rsidR="003A3B91" w:rsidRDefault="003A3B91" w:rsidP="008F50FD">
      <w:pPr>
        <w:rPr>
          <w:rFonts w:ascii="IRBadr" w:hAnsi="IRBadr" w:cs="IRBadr"/>
          <w:sz w:val="34"/>
          <w:rtl/>
        </w:rPr>
      </w:pPr>
      <w:r>
        <w:rPr>
          <w:rFonts w:ascii="IRBadr" w:hAnsi="IRBadr" w:cs="IRBadr" w:hint="cs"/>
          <w:sz w:val="34"/>
          <w:rtl/>
        </w:rPr>
        <w:t xml:space="preserve">در این عبارت تمامی مئونه‌ها ذکر نشده بلکه تنها مئونه عمارت قرینه آمده است. این عماره ممکن است یک مئونه‌ اجباری بوده است که از تمامی افراد اخذ می‌شده است. نظیر لایروبی قنات‌ها که همه را اجبار می‌کردند در </w:t>
      </w:r>
      <w:r w:rsidR="008F50FD">
        <w:rPr>
          <w:rFonts w:ascii="IRBadr" w:hAnsi="IRBadr" w:cs="IRBadr" w:hint="cs"/>
          <w:sz w:val="34"/>
          <w:rtl/>
        </w:rPr>
        <w:t>آن</w:t>
      </w:r>
      <w:r>
        <w:rPr>
          <w:rFonts w:ascii="IRBadr" w:hAnsi="IRBadr" w:cs="IRBadr" w:hint="cs"/>
          <w:sz w:val="34"/>
          <w:rtl/>
        </w:rPr>
        <w:t xml:space="preserve"> کمک کنند.</w:t>
      </w:r>
      <w:r w:rsidR="008F50FD">
        <w:rPr>
          <w:rFonts w:ascii="IRBadr" w:hAnsi="IRBadr" w:cs="IRBadr" w:hint="cs"/>
          <w:sz w:val="34"/>
          <w:rtl/>
        </w:rPr>
        <w:t xml:space="preserve"> بنابراین، از مواردی به شمار می‌رود که به طور قهری اخذ می‌شود. بعضی بیان کرده‌اند مئونه‌هایی که ماخوذ قهراً باشد، استثناء می‌شود. این عبارت فقه الرضا ممکن است ناظر به آن امور باشد. بنابراین، ناظر به تمامی مئونه‌ها نیست.</w:t>
      </w:r>
    </w:p>
    <w:p w:rsidR="008F50FD" w:rsidRDefault="008F50FD" w:rsidP="004D616B">
      <w:pPr>
        <w:rPr>
          <w:rFonts w:ascii="IRBadr" w:hAnsi="IRBadr" w:cs="IRBadr"/>
          <w:sz w:val="34"/>
          <w:rtl/>
        </w:rPr>
      </w:pPr>
      <w:r>
        <w:rPr>
          <w:rFonts w:ascii="IRBadr" w:hAnsi="IRBadr" w:cs="IRBadr" w:hint="cs"/>
          <w:sz w:val="34"/>
          <w:rtl/>
        </w:rPr>
        <w:t>شبیه همین عبارت در برخی کتب صدوق آمده است</w:t>
      </w:r>
      <w:r>
        <w:rPr>
          <w:rStyle w:val="FootnoteReference"/>
          <w:rFonts w:ascii="IRBadr" w:hAnsi="IRBadr" w:cs="IRBadr"/>
          <w:sz w:val="34"/>
          <w:rtl/>
        </w:rPr>
        <w:footnoteReference w:id="2"/>
      </w:r>
      <w:r>
        <w:rPr>
          <w:rFonts w:ascii="IRBadr" w:hAnsi="IRBadr" w:cs="IRBadr" w:hint="cs"/>
          <w:sz w:val="34"/>
          <w:rtl/>
        </w:rPr>
        <w:t>. در کتاب ینابیع، عبارات مقنع</w:t>
      </w:r>
      <w:r>
        <w:rPr>
          <w:rStyle w:val="FootnoteReference"/>
          <w:rFonts w:ascii="IRBadr" w:hAnsi="IRBadr" w:cs="IRBadr"/>
          <w:sz w:val="34"/>
          <w:rtl/>
        </w:rPr>
        <w:footnoteReference w:id="3"/>
      </w:r>
      <w:r>
        <w:rPr>
          <w:rFonts w:ascii="IRBadr" w:hAnsi="IRBadr" w:cs="IRBadr" w:hint="cs"/>
          <w:sz w:val="34"/>
          <w:rtl/>
        </w:rPr>
        <w:t xml:space="preserve"> و هدایه</w:t>
      </w:r>
      <w:r>
        <w:rPr>
          <w:rStyle w:val="FootnoteReference"/>
          <w:rFonts w:ascii="IRBadr" w:hAnsi="IRBadr" w:cs="IRBadr"/>
          <w:sz w:val="34"/>
          <w:rtl/>
        </w:rPr>
        <w:footnoteReference w:id="4"/>
      </w:r>
      <w:r>
        <w:rPr>
          <w:rFonts w:ascii="IRBadr" w:hAnsi="IRBadr" w:cs="IRBadr" w:hint="cs"/>
          <w:sz w:val="34"/>
          <w:rtl/>
        </w:rPr>
        <w:t xml:space="preserve"> نیز وارد شده است. تفاوت عبارات شیخ صدوق با فقه الرضا در آن اتست که در عبارت فقه الرضا تعبیر «لیس فی الحنطة...» آمده ولی در عبارات صدوق، تعبیر «لیس علی الحنطة ...» وارد شده است.</w:t>
      </w:r>
      <w:r w:rsidR="004D616B">
        <w:rPr>
          <w:rFonts w:ascii="IRBadr" w:hAnsi="IRBadr" w:cs="IRBadr" w:hint="cs"/>
          <w:sz w:val="34"/>
          <w:rtl/>
        </w:rPr>
        <w:t xml:space="preserve"> همچنین در ذیل عبارت نیز یکبار حرف «فی» به کار رفته که در کلام شیخ صدوق به «علی» تبدیل شده است.</w:t>
      </w:r>
    </w:p>
    <w:p w:rsidR="000D7224" w:rsidRDefault="000D7224" w:rsidP="000D7224">
      <w:pPr>
        <w:pStyle w:val="Heading4"/>
        <w:rPr>
          <w:rtl/>
        </w:rPr>
      </w:pPr>
      <w:bookmarkStart w:id="10" w:name="_Toc196078323"/>
      <w:r>
        <w:rPr>
          <w:rFonts w:hint="cs"/>
          <w:rtl/>
        </w:rPr>
        <w:t>مولف فقه الرضا</w:t>
      </w:r>
      <w:bookmarkEnd w:id="10"/>
    </w:p>
    <w:p w:rsidR="004D616B" w:rsidRDefault="004D616B" w:rsidP="003362C2">
      <w:pPr>
        <w:rPr>
          <w:rFonts w:ascii="IRBadr" w:hAnsi="IRBadr" w:cs="IRBadr"/>
          <w:sz w:val="34"/>
          <w:rtl/>
        </w:rPr>
      </w:pPr>
      <w:r>
        <w:rPr>
          <w:rFonts w:ascii="IRBadr" w:hAnsi="IRBadr" w:cs="IRBadr" w:hint="cs"/>
          <w:sz w:val="34"/>
          <w:rtl/>
        </w:rPr>
        <w:t xml:space="preserve">برخی بیان کرده‌اند که فقه الرضا همان کتاب شرائع علی بن بابویه است. این سخن صحیحی نیست. اخیرا قسمتی از کتاب علی بن بابویه به دست آمده، و نقلیاتی از این کتاب از قسمت‌های دیگر آن هم موجود است. در کتابی که با نام شرایع علی بن بابویه چاپ شده، تمامی نقلیات از این کتاب که در کتب دیگر وارد شده جمع‌آوری شده، و همراه با بخشی از آن کتاب که اخیرا به دست آمده با هم چاپ شده است. مقدمه مفیدی در ابتدای این کتاب وارد شده و این بحث در آن مطرح شده است. در اینکه کتاب شرائع متاثّر از فقه الرضا است </w:t>
      </w:r>
      <w:r w:rsidR="00876FB2">
        <w:rPr>
          <w:rFonts w:ascii="IRBadr" w:hAnsi="IRBadr" w:cs="IRBadr" w:hint="cs"/>
          <w:sz w:val="34"/>
          <w:rtl/>
        </w:rPr>
        <w:t xml:space="preserve">و ناظر به آن است </w:t>
      </w:r>
      <w:r>
        <w:rPr>
          <w:rFonts w:ascii="IRBadr" w:hAnsi="IRBadr" w:cs="IRBadr" w:hint="cs"/>
          <w:sz w:val="34"/>
          <w:rtl/>
        </w:rPr>
        <w:t xml:space="preserve">تردیدی در آن نیست. </w:t>
      </w:r>
      <w:r w:rsidR="00876FB2">
        <w:rPr>
          <w:rFonts w:ascii="IRBadr" w:hAnsi="IRBadr" w:cs="IRBadr" w:hint="cs"/>
          <w:sz w:val="34"/>
          <w:rtl/>
        </w:rPr>
        <w:t xml:space="preserve">همچنین در اینکه این کتاب با کتاب شرائع علی بن بابویه تفاوت دارد نیز شکی نیست. گویا در هنگام نوشتن شرایع، کتاب فقه الرضا را پیش رو داشته و </w:t>
      </w:r>
      <w:r w:rsidR="00AC5C9F">
        <w:rPr>
          <w:rFonts w:ascii="IRBadr" w:hAnsi="IRBadr" w:cs="IRBadr" w:hint="cs"/>
          <w:sz w:val="34"/>
          <w:rtl/>
        </w:rPr>
        <w:t xml:space="preserve">برخی جاهای آن را تغییر داده است، ولی منبع اصلی وی همان فقه الرضا است. این احتمال وجود دارد که عبارات شیخ صدق در محل بحث در کتب مختلفش </w:t>
      </w:r>
      <w:r w:rsidR="00FF080E">
        <w:rPr>
          <w:rFonts w:ascii="IRBadr" w:hAnsi="IRBadr" w:cs="IRBadr" w:hint="cs"/>
          <w:sz w:val="34"/>
          <w:rtl/>
        </w:rPr>
        <w:t xml:space="preserve">از شرایع باشد، نه آنکه از فقه الرضا اخذ کرده باشد. </w:t>
      </w:r>
      <w:r w:rsidR="00081255">
        <w:rPr>
          <w:rFonts w:ascii="IRBadr" w:hAnsi="IRBadr" w:cs="IRBadr" w:hint="cs"/>
          <w:sz w:val="34"/>
          <w:rtl/>
        </w:rPr>
        <w:t>یعنی ابتدا پدر صد</w:t>
      </w:r>
      <w:r w:rsidR="00FF080E">
        <w:rPr>
          <w:rFonts w:ascii="IRBadr" w:hAnsi="IRBadr" w:cs="IRBadr" w:hint="cs"/>
          <w:sz w:val="34"/>
          <w:rtl/>
        </w:rPr>
        <w:t>و</w:t>
      </w:r>
      <w:r w:rsidR="00081255">
        <w:rPr>
          <w:rFonts w:ascii="IRBadr" w:hAnsi="IRBadr" w:cs="IRBadr" w:hint="cs"/>
          <w:sz w:val="34"/>
          <w:rtl/>
        </w:rPr>
        <w:t>ق</w:t>
      </w:r>
      <w:r w:rsidR="00FF080E">
        <w:rPr>
          <w:rFonts w:ascii="IRBadr" w:hAnsi="IRBadr" w:cs="IRBadr" w:hint="cs"/>
          <w:sz w:val="34"/>
          <w:rtl/>
        </w:rPr>
        <w:t xml:space="preserve"> این عبارات را از فقه الرضا  اخذ کرده و</w:t>
      </w:r>
      <w:r w:rsidR="00081255">
        <w:rPr>
          <w:rFonts w:ascii="IRBadr" w:hAnsi="IRBadr" w:cs="IRBadr" w:hint="cs"/>
          <w:sz w:val="34"/>
          <w:rtl/>
        </w:rPr>
        <w:t xml:space="preserve"> در آن تغییراتی داده، و</w:t>
      </w:r>
      <w:r w:rsidR="00FF080E">
        <w:rPr>
          <w:rFonts w:ascii="IRBadr" w:hAnsi="IRBadr" w:cs="IRBadr" w:hint="cs"/>
          <w:sz w:val="34"/>
          <w:rtl/>
        </w:rPr>
        <w:t xml:space="preserve"> پس از آن شیخ صدوق از پدرش گرفته است.</w:t>
      </w:r>
      <w:r w:rsidR="00081255">
        <w:rPr>
          <w:rFonts w:ascii="IRBadr" w:hAnsi="IRBadr" w:cs="IRBadr" w:hint="cs"/>
          <w:sz w:val="34"/>
          <w:rtl/>
        </w:rPr>
        <w:t xml:space="preserve"> یعنی این تغییرات توسط پدر صدوق ایجاد شدها است. مرحوم سید حسن صدر</w:t>
      </w:r>
      <w:r w:rsidR="003362C2">
        <w:rPr>
          <w:rFonts w:ascii="IRBadr" w:hAnsi="IRBadr" w:cs="IRBadr" w:hint="cs"/>
          <w:sz w:val="34"/>
          <w:rtl/>
        </w:rPr>
        <w:t xml:space="preserve"> مقاله‌ای با نام «فصل القضاء فی الکتاب المسمّی بفقه الرضا» تالیف نموده و بیان کرده که فقه الرضا همان «کتاب التکلیف» شلمقانی است. شواهد و استدلالاتی که ایشان در آن مقاله ذکر نموده صحیح است. ما نیز نکته‌ای به کلام ایشان اضافه می‌کنیم.</w:t>
      </w:r>
    </w:p>
    <w:p w:rsidR="003362C2" w:rsidRDefault="003362C2" w:rsidP="003362C2">
      <w:pPr>
        <w:rPr>
          <w:rFonts w:ascii="IRBadr" w:hAnsi="IRBadr" w:cs="IRBadr"/>
          <w:sz w:val="34"/>
          <w:rtl/>
        </w:rPr>
      </w:pPr>
      <w:r>
        <w:rPr>
          <w:rFonts w:ascii="IRBadr" w:hAnsi="IRBadr" w:cs="IRBadr" w:hint="cs"/>
          <w:sz w:val="34"/>
          <w:rtl/>
        </w:rPr>
        <w:t xml:space="preserve">ما در یک نشست علمی مطالبی بیان کردیم که در مقدمه کتاب اثبات الوصیّة چاپ شد. البته این کتاب به زبان عربی است ولی مقدمه آن که پیاده‌شده نشست علمی بود به زبان فارسی قرار داده شده است. ما در آنجا اثبات کرده‌ایم که «اثبات الوصیة» همان «کتاب الأوصیاء» شلمقانی است. شلمقانی این کتاب را پیش از انحراف تالیف کرده است. کتاب التکلیف نیز چنین است. برخی مشابهات تعبیری خاص و بعضی ویژگی‌های </w:t>
      </w:r>
      <w:r>
        <w:rPr>
          <w:rFonts w:ascii="IRBadr" w:hAnsi="IRBadr" w:cs="IRBadr" w:hint="cs"/>
          <w:sz w:val="34"/>
          <w:rtl/>
        </w:rPr>
        <w:lastRenderedPageBreak/>
        <w:t xml:space="preserve">مشترک بین کتاب فقه الرضا و کتاب اثبات الوصیّة وجود دارد. این امور نشان‌دهنده آن است که مولّف این دو کتاب شخص واحدی است. این شواهد -که در آن مقدمه آمده است- خود تاییدی بر سخن مرحوم سید حسن صدر است که کتاب فقه الرضا همان کتاب التکلیف شلمقانی است. </w:t>
      </w:r>
    </w:p>
    <w:p w:rsidR="003362C2" w:rsidRDefault="003362C2" w:rsidP="003D5D34">
      <w:pPr>
        <w:rPr>
          <w:rFonts w:ascii="IRBadr" w:hAnsi="IRBadr" w:cs="IRBadr"/>
          <w:sz w:val="34"/>
          <w:rtl/>
        </w:rPr>
      </w:pPr>
      <w:r>
        <w:rPr>
          <w:rFonts w:ascii="IRBadr" w:hAnsi="IRBadr" w:cs="IRBadr" w:hint="cs"/>
          <w:sz w:val="34"/>
          <w:rtl/>
        </w:rPr>
        <w:t xml:space="preserve">عبارتی که بیان شد </w:t>
      </w:r>
      <w:r w:rsidR="003D5D34">
        <w:rPr>
          <w:rFonts w:ascii="IRBadr" w:hAnsi="IRBadr" w:cs="IRBadr"/>
          <w:sz w:val="34"/>
          <w:rtl/>
        </w:rPr>
        <w:t>–</w:t>
      </w:r>
      <w:r w:rsidR="003D5D34">
        <w:rPr>
          <w:rFonts w:ascii="IRBadr" w:hAnsi="IRBadr" w:cs="IRBadr" w:hint="cs"/>
          <w:sz w:val="34"/>
          <w:rtl/>
        </w:rPr>
        <w:t>علاوه بر آن</w:t>
      </w:r>
      <w:r>
        <w:rPr>
          <w:rFonts w:ascii="IRBadr" w:hAnsi="IRBadr" w:cs="IRBadr" w:hint="cs"/>
          <w:sz w:val="34"/>
          <w:rtl/>
        </w:rPr>
        <w:t>که کلی نیست بلکه تنها ناظر به خراج سلطان و عمارت قریه است که چه بسا از مسلّمات باشد</w:t>
      </w:r>
      <w:r w:rsidR="003D5D34">
        <w:rPr>
          <w:rFonts w:ascii="IRBadr" w:hAnsi="IRBadr" w:cs="IRBadr" w:hint="cs"/>
          <w:sz w:val="34"/>
          <w:rtl/>
        </w:rPr>
        <w:t xml:space="preserve">- مربوط به زمان محاسبه نصاب است. عبارت مزبور بیانگر آن است که در محاسبه نصاب، این دو مورد باید استثنا شود. ولی اینکه پس از محاسبه نصاب به این امور زکات تعلق می‌گیرد یا خیر، عبارت نسبت به آن مجمل است. عباراتی که در ادامه بیان می‌شود از این جهت مختلف است. شاید بیشتر عبارات ناظر به آن است که در محاسبه نصاب، مئونه محاسبه نمی‌شود. </w:t>
      </w:r>
    </w:p>
    <w:p w:rsidR="000D7224" w:rsidRDefault="000D7224" w:rsidP="000D7224">
      <w:pPr>
        <w:pStyle w:val="Heading3"/>
        <w:rPr>
          <w:rtl/>
        </w:rPr>
      </w:pPr>
      <w:bookmarkStart w:id="11" w:name="_Toc196078324"/>
      <w:r>
        <w:rPr>
          <w:rFonts w:hint="cs"/>
          <w:rtl/>
        </w:rPr>
        <w:t>کلام شیخ مفید در اشراف و مقنعه</w:t>
      </w:r>
      <w:bookmarkEnd w:id="11"/>
    </w:p>
    <w:p w:rsidR="0082718F" w:rsidRDefault="0082718F" w:rsidP="003D5D34">
      <w:pPr>
        <w:rPr>
          <w:rFonts w:ascii="IRBadr" w:hAnsi="IRBadr" w:cs="IRBadr"/>
          <w:sz w:val="34"/>
          <w:rtl/>
        </w:rPr>
      </w:pPr>
      <w:r>
        <w:rPr>
          <w:rFonts w:ascii="IRBadr" w:hAnsi="IRBadr" w:cs="IRBadr" w:hint="cs"/>
          <w:sz w:val="34"/>
          <w:rtl/>
        </w:rPr>
        <w:t>عبارت شیخ مفید در کتاب الاشراف به شرح زیر است:</w:t>
      </w:r>
    </w:p>
    <w:p w:rsidR="0082718F" w:rsidRDefault="0082718F" w:rsidP="0082718F">
      <w:pPr>
        <w:rPr>
          <w:rFonts w:ascii="IRBadr" w:hAnsi="IRBadr" w:cs="IRBadr"/>
          <w:sz w:val="34"/>
          <w:rtl/>
        </w:rPr>
      </w:pP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ليس</w:t>
      </w:r>
      <w:r w:rsidRPr="0082718F">
        <w:rPr>
          <w:rFonts w:ascii="IRBadr" w:hAnsi="IRBadr" w:cs="IRBadr"/>
          <w:color w:val="000080"/>
          <w:sz w:val="34"/>
          <w:rtl/>
        </w:rPr>
        <w:t xml:space="preserve"> </w:t>
      </w:r>
      <w:r w:rsidRPr="0082718F">
        <w:rPr>
          <w:rFonts w:ascii="IRBadr" w:hAnsi="IRBadr" w:cs="IRBadr" w:hint="cs"/>
          <w:color w:val="000080"/>
          <w:sz w:val="34"/>
          <w:rtl/>
        </w:rPr>
        <w:t>فيما</w:t>
      </w:r>
      <w:r w:rsidRPr="0082718F">
        <w:rPr>
          <w:rFonts w:ascii="IRBadr" w:hAnsi="IRBadr" w:cs="IRBadr"/>
          <w:color w:val="000080"/>
          <w:sz w:val="34"/>
          <w:rtl/>
        </w:rPr>
        <w:t xml:space="preserve"> </w:t>
      </w:r>
      <w:r w:rsidRPr="0082718F">
        <w:rPr>
          <w:rFonts w:ascii="IRBadr" w:hAnsi="IRBadr" w:cs="IRBadr" w:hint="cs"/>
          <w:color w:val="000080"/>
          <w:sz w:val="34"/>
          <w:rtl/>
        </w:rPr>
        <w:t>غلته</w:t>
      </w:r>
      <w:r w:rsidRPr="0082718F">
        <w:rPr>
          <w:rFonts w:ascii="IRBadr" w:hAnsi="IRBadr" w:cs="IRBadr"/>
          <w:color w:val="000080"/>
          <w:sz w:val="34"/>
          <w:rtl/>
        </w:rPr>
        <w:t xml:space="preserve"> </w:t>
      </w:r>
      <w:r w:rsidRPr="0082718F">
        <w:rPr>
          <w:rFonts w:ascii="IRBadr" w:hAnsi="IRBadr" w:cs="IRBadr" w:hint="cs"/>
          <w:color w:val="000080"/>
          <w:sz w:val="34"/>
          <w:rtl/>
        </w:rPr>
        <w:t>الأرض</w:t>
      </w:r>
      <w:r w:rsidRPr="0082718F">
        <w:rPr>
          <w:rFonts w:ascii="IRBadr" w:hAnsi="IRBadr" w:cs="IRBadr"/>
          <w:color w:val="000080"/>
          <w:sz w:val="34"/>
          <w:rtl/>
        </w:rPr>
        <w:t xml:space="preserve"> </w:t>
      </w:r>
      <w:r w:rsidRPr="0082718F">
        <w:rPr>
          <w:rFonts w:ascii="IRBadr" w:hAnsi="IRBadr" w:cs="IRBadr" w:hint="cs"/>
          <w:color w:val="000080"/>
          <w:sz w:val="34"/>
          <w:rtl/>
        </w:rPr>
        <w:t>من</w:t>
      </w:r>
      <w:r w:rsidRPr="0082718F">
        <w:rPr>
          <w:rFonts w:ascii="IRBadr" w:hAnsi="IRBadr" w:cs="IRBadr"/>
          <w:color w:val="000080"/>
          <w:sz w:val="34"/>
          <w:rtl/>
        </w:rPr>
        <w:t xml:space="preserve"> </w:t>
      </w:r>
      <w:r w:rsidRPr="0082718F">
        <w:rPr>
          <w:rFonts w:ascii="IRBadr" w:hAnsi="IRBadr" w:cs="IRBadr" w:hint="cs"/>
          <w:color w:val="000080"/>
          <w:sz w:val="34"/>
          <w:rtl/>
        </w:rPr>
        <w:t>حنطة</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شعير</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تمر</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زبيب</w:t>
      </w:r>
      <w:r w:rsidRPr="0082718F">
        <w:rPr>
          <w:rFonts w:ascii="IRBadr" w:hAnsi="IRBadr" w:cs="IRBadr"/>
          <w:color w:val="000080"/>
          <w:sz w:val="34"/>
          <w:rtl/>
        </w:rPr>
        <w:t xml:space="preserve"> </w:t>
      </w:r>
      <w:r w:rsidRPr="0082718F">
        <w:rPr>
          <w:rFonts w:ascii="IRBadr" w:hAnsi="IRBadr" w:cs="IRBadr" w:hint="cs"/>
          <w:color w:val="000080"/>
          <w:sz w:val="34"/>
          <w:rtl/>
        </w:rPr>
        <w:t>شي‌ء</w:t>
      </w:r>
      <w:r w:rsidRPr="0082718F">
        <w:rPr>
          <w:rFonts w:ascii="IRBadr" w:hAnsi="IRBadr" w:cs="IRBadr"/>
          <w:color w:val="000080"/>
          <w:sz w:val="34"/>
          <w:rtl/>
        </w:rPr>
        <w:t xml:space="preserve"> </w:t>
      </w:r>
      <w:r w:rsidRPr="0082718F">
        <w:rPr>
          <w:rFonts w:ascii="IRBadr" w:hAnsi="IRBadr" w:cs="IRBadr" w:hint="cs"/>
          <w:color w:val="000080"/>
          <w:sz w:val="34"/>
          <w:rtl/>
        </w:rPr>
        <w:t>حتى</w:t>
      </w:r>
      <w:r w:rsidRPr="0082718F">
        <w:rPr>
          <w:rFonts w:ascii="IRBadr" w:hAnsi="IRBadr" w:cs="IRBadr"/>
          <w:color w:val="000080"/>
          <w:sz w:val="34"/>
          <w:rtl/>
        </w:rPr>
        <w:t xml:space="preserve"> </w:t>
      </w:r>
      <w:r w:rsidRPr="0082718F">
        <w:rPr>
          <w:rFonts w:ascii="IRBadr" w:hAnsi="IRBadr" w:cs="IRBadr" w:hint="cs"/>
          <w:color w:val="000080"/>
          <w:sz w:val="34"/>
          <w:rtl/>
        </w:rPr>
        <w:t>يبلغ</w:t>
      </w:r>
      <w:r w:rsidRPr="0082718F">
        <w:rPr>
          <w:rFonts w:ascii="IRBadr" w:hAnsi="IRBadr" w:cs="IRBadr"/>
          <w:color w:val="000080"/>
          <w:sz w:val="34"/>
          <w:rtl/>
        </w:rPr>
        <w:t xml:space="preserve"> </w:t>
      </w:r>
      <w:r w:rsidRPr="0082718F">
        <w:rPr>
          <w:rFonts w:ascii="IRBadr" w:hAnsi="IRBadr" w:cs="IRBadr" w:hint="cs"/>
          <w:color w:val="000080"/>
          <w:sz w:val="34"/>
          <w:rtl/>
        </w:rPr>
        <w:t>خمسة</w:t>
      </w:r>
      <w:r w:rsidRPr="0082718F">
        <w:rPr>
          <w:rFonts w:ascii="IRBadr" w:hAnsi="IRBadr" w:cs="IRBadr"/>
          <w:color w:val="000080"/>
          <w:sz w:val="34"/>
          <w:rtl/>
        </w:rPr>
        <w:t xml:space="preserve"> </w:t>
      </w:r>
      <w:r w:rsidRPr="0082718F">
        <w:rPr>
          <w:rFonts w:ascii="IRBadr" w:hAnsi="IRBadr" w:cs="IRBadr" w:hint="cs"/>
          <w:color w:val="000080"/>
          <w:sz w:val="34"/>
          <w:rtl/>
        </w:rPr>
        <w:t>أوسق</w:t>
      </w:r>
      <w:r w:rsidRPr="0082718F">
        <w:rPr>
          <w:rFonts w:ascii="IRBadr" w:hAnsi="IRBadr" w:cs="IRBadr"/>
          <w:color w:val="000080"/>
          <w:sz w:val="34"/>
          <w:rtl/>
        </w:rPr>
        <w:t xml:space="preserve"> </w:t>
      </w:r>
      <w:r w:rsidRPr="0082718F">
        <w:rPr>
          <w:rFonts w:ascii="IRBadr" w:hAnsi="IRBadr" w:cs="IRBadr" w:hint="cs"/>
          <w:color w:val="000080"/>
          <w:sz w:val="34"/>
          <w:rtl/>
        </w:rPr>
        <w:t>بعد</w:t>
      </w:r>
      <w:r w:rsidRPr="0082718F">
        <w:rPr>
          <w:rFonts w:ascii="IRBadr" w:hAnsi="IRBadr" w:cs="IRBadr"/>
          <w:color w:val="000080"/>
          <w:sz w:val="34"/>
          <w:rtl/>
        </w:rPr>
        <w:t xml:space="preserve"> </w:t>
      </w:r>
      <w:r w:rsidRPr="0082718F">
        <w:rPr>
          <w:rFonts w:ascii="IRBadr" w:hAnsi="IRBadr" w:cs="IRBadr" w:hint="cs"/>
          <w:color w:val="000080"/>
          <w:sz w:val="34"/>
          <w:rtl/>
        </w:rPr>
        <w:t>إخراج</w:t>
      </w:r>
      <w:r w:rsidRPr="0082718F">
        <w:rPr>
          <w:rFonts w:ascii="IRBadr" w:hAnsi="IRBadr" w:cs="IRBadr"/>
          <w:color w:val="000080"/>
          <w:sz w:val="34"/>
          <w:rtl/>
        </w:rPr>
        <w:t xml:space="preserve"> </w:t>
      </w:r>
      <w:r w:rsidRPr="0082718F">
        <w:rPr>
          <w:rFonts w:ascii="IRBadr" w:hAnsi="IRBadr" w:cs="IRBadr" w:hint="cs"/>
          <w:color w:val="000080"/>
          <w:sz w:val="34"/>
          <w:rtl/>
        </w:rPr>
        <w:t>البذر</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المئونة</w:t>
      </w:r>
      <w:r w:rsidRPr="0082718F">
        <w:rPr>
          <w:rFonts w:ascii="IRBadr" w:hAnsi="IRBadr" w:cs="IRBadr"/>
          <w:color w:val="000080"/>
          <w:sz w:val="34"/>
          <w:rtl/>
        </w:rPr>
        <w:t xml:space="preserve"> </w:t>
      </w:r>
      <w:r w:rsidRPr="0082718F">
        <w:rPr>
          <w:rFonts w:ascii="IRBadr" w:hAnsi="IRBadr" w:cs="IRBadr" w:hint="cs"/>
          <w:color w:val="000080"/>
          <w:sz w:val="34"/>
          <w:rtl/>
        </w:rPr>
        <w:t>فإذا</w:t>
      </w:r>
      <w:r w:rsidRPr="0082718F">
        <w:rPr>
          <w:rFonts w:ascii="IRBadr" w:hAnsi="IRBadr" w:cs="IRBadr"/>
          <w:color w:val="000080"/>
          <w:sz w:val="34"/>
          <w:rtl/>
        </w:rPr>
        <w:t xml:space="preserve"> </w:t>
      </w:r>
      <w:r w:rsidRPr="0082718F">
        <w:rPr>
          <w:rFonts w:ascii="IRBadr" w:hAnsi="IRBadr" w:cs="IRBadr" w:hint="cs"/>
          <w:color w:val="000080"/>
          <w:sz w:val="34"/>
          <w:rtl/>
        </w:rPr>
        <w:t>بلغ</w:t>
      </w:r>
      <w:r w:rsidRPr="0082718F">
        <w:rPr>
          <w:rFonts w:ascii="IRBadr" w:hAnsi="IRBadr" w:cs="IRBadr"/>
          <w:color w:val="000080"/>
          <w:sz w:val="34"/>
          <w:rtl/>
        </w:rPr>
        <w:t xml:space="preserve"> </w:t>
      </w:r>
      <w:r w:rsidRPr="0082718F">
        <w:rPr>
          <w:rFonts w:ascii="IRBadr" w:hAnsi="IRBadr" w:cs="IRBadr" w:hint="cs"/>
          <w:color w:val="000080"/>
          <w:sz w:val="34"/>
          <w:rtl/>
        </w:rPr>
        <w:t>ذلك</w:t>
      </w:r>
      <w:r w:rsidRPr="0082718F">
        <w:rPr>
          <w:rFonts w:ascii="IRBadr" w:hAnsi="IRBadr" w:cs="IRBadr"/>
          <w:color w:val="000080"/>
          <w:sz w:val="34"/>
          <w:rtl/>
        </w:rPr>
        <w:t xml:space="preserve"> </w:t>
      </w:r>
      <w:r w:rsidRPr="0082718F">
        <w:rPr>
          <w:rFonts w:ascii="IRBadr" w:hAnsi="IRBadr" w:cs="IRBadr" w:hint="cs"/>
          <w:color w:val="000080"/>
          <w:sz w:val="34"/>
          <w:rtl/>
        </w:rPr>
        <w:t>بعد</w:t>
      </w:r>
      <w:r w:rsidRPr="0082718F">
        <w:rPr>
          <w:rFonts w:ascii="IRBadr" w:hAnsi="IRBadr" w:cs="IRBadr"/>
          <w:color w:val="000080"/>
          <w:sz w:val="34"/>
          <w:rtl/>
        </w:rPr>
        <w:t xml:space="preserve"> </w:t>
      </w:r>
      <w:r w:rsidRPr="0082718F">
        <w:rPr>
          <w:rFonts w:ascii="IRBadr" w:hAnsi="IRBadr" w:cs="IRBadr" w:hint="cs"/>
          <w:color w:val="000080"/>
          <w:sz w:val="34"/>
          <w:rtl/>
        </w:rPr>
        <w:t>الذي</w:t>
      </w:r>
      <w:r w:rsidRPr="0082718F">
        <w:rPr>
          <w:rFonts w:ascii="IRBadr" w:hAnsi="IRBadr" w:cs="IRBadr"/>
          <w:color w:val="000080"/>
          <w:sz w:val="34"/>
          <w:rtl/>
        </w:rPr>
        <w:t xml:space="preserve"> </w:t>
      </w:r>
      <w:r w:rsidRPr="0082718F">
        <w:rPr>
          <w:rFonts w:ascii="IRBadr" w:hAnsi="IRBadr" w:cs="IRBadr" w:hint="cs"/>
          <w:color w:val="000080"/>
          <w:sz w:val="34"/>
          <w:rtl/>
        </w:rPr>
        <w:t>ذكرناه</w:t>
      </w:r>
      <w:r w:rsidRPr="0082718F">
        <w:rPr>
          <w:rFonts w:ascii="IRBadr" w:hAnsi="IRBadr" w:cs="IRBadr"/>
          <w:color w:val="000080"/>
          <w:sz w:val="34"/>
          <w:rtl/>
        </w:rPr>
        <w:t xml:space="preserve"> </w:t>
      </w:r>
      <w:r w:rsidRPr="0082718F">
        <w:rPr>
          <w:rFonts w:ascii="IRBadr" w:hAnsi="IRBadr" w:cs="IRBadr" w:hint="cs"/>
          <w:color w:val="000080"/>
          <w:sz w:val="34"/>
          <w:rtl/>
        </w:rPr>
        <w:t>ففيه</w:t>
      </w:r>
      <w:r w:rsidRPr="0082718F">
        <w:rPr>
          <w:rFonts w:ascii="IRBadr" w:hAnsi="IRBadr" w:cs="IRBadr"/>
          <w:color w:val="000080"/>
          <w:sz w:val="34"/>
          <w:rtl/>
        </w:rPr>
        <w:t xml:space="preserve"> </w:t>
      </w:r>
      <w:r w:rsidRPr="0082718F">
        <w:rPr>
          <w:rFonts w:ascii="IRBadr" w:hAnsi="IRBadr" w:cs="IRBadr" w:hint="cs"/>
          <w:color w:val="000080"/>
          <w:sz w:val="34"/>
          <w:rtl/>
        </w:rPr>
        <w:t>العشر»</w:t>
      </w:r>
      <w:r>
        <w:rPr>
          <w:rStyle w:val="FootnoteReference"/>
          <w:rFonts w:ascii="IRBadr" w:hAnsi="IRBadr" w:cs="IRBadr"/>
          <w:color w:val="000080"/>
          <w:sz w:val="34"/>
          <w:rtl/>
        </w:rPr>
        <w:footnoteReference w:id="5"/>
      </w:r>
      <w:r>
        <w:rPr>
          <w:rFonts w:ascii="IRBadr" w:hAnsi="IRBadr" w:cs="IRBadr" w:hint="cs"/>
          <w:sz w:val="34"/>
          <w:rtl/>
        </w:rPr>
        <w:t>.</w:t>
      </w:r>
    </w:p>
    <w:p w:rsidR="0082718F" w:rsidRDefault="0082718F" w:rsidP="0082718F">
      <w:pPr>
        <w:rPr>
          <w:rFonts w:ascii="IRBadr" w:hAnsi="IRBadr" w:cs="IRBadr"/>
          <w:sz w:val="34"/>
          <w:rtl/>
        </w:rPr>
      </w:pPr>
      <w:r>
        <w:rPr>
          <w:rFonts w:ascii="IRBadr" w:hAnsi="IRBadr" w:cs="IRBadr" w:hint="cs"/>
          <w:sz w:val="34"/>
          <w:rtl/>
        </w:rPr>
        <w:t>این عبارت نیز تنها ناظر به محاسبه نصاب است. در این عبارت بذر هم ذکر شده که در فقه الرضا نبود.</w:t>
      </w:r>
    </w:p>
    <w:p w:rsidR="0082718F" w:rsidRDefault="0082718F" w:rsidP="0082718F">
      <w:pPr>
        <w:rPr>
          <w:rFonts w:ascii="IRBadr" w:hAnsi="IRBadr" w:cs="IRBadr"/>
          <w:sz w:val="34"/>
          <w:rtl/>
        </w:rPr>
      </w:pPr>
      <w:r>
        <w:rPr>
          <w:rFonts w:ascii="IRBadr" w:hAnsi="IRBadr" w:cs="IRBadr" w:hint="cs"/>
          <w:sz w:val="34"/>
          <w:rtl/>
        </w:rPr>
        <w:t>در مقنعه آمده است:</w:t>
      </w:r>
    </w:p>
    <w:p w:rsidR="0082718F" w:rsidRDefault="0082718F" w:rsidP="0082718F">
      <w:pPr>
        <w:rPr>
          <w:rFonts w:ascii="IRBadr" w:hAnsi="IRBadr" w:cs="IRBadr"/>
          <w:sz w:val="34"/>
        </w:rPr>
      </w:pPr>
      <w:r w:rsidRPr="0082718F">
        <w:rPr>
          <w:rFonts w:ascii="IRBadr" w:hAnsi="IRBadr" w:cs="IRBadr" w:hint="cs"/>
          <w:color w:val="000080"/>
          <w:sz w:val="34"/>
          <w:rtl/>
        </w:rPr>
        <w:t>«لا</w:t>
      </w:r>
      <w:r w:rsidRPr="0082718F">
        <w:rPr>
          <w:rFonts w:ascii="IRBadr" w:hAnsi="IRBadr" w:cs="IRBadr"/>
          <w:color w:val="000080"/>
          <w:sz w:val="34"/>
          <w:rtl/>
        </w:rPr>
        <w:t xml:space="preserve"> </w:t>
      </w:r>
      <w:r w:rsidRPr="0082718F">
        <w:rPr>
          <w:rFonts w:ascii="IRBadr" w:hAnsi="IRBadr" w:cs="IRBadr" w:hint="cs"/>
          <w:color w:val="000080"/>
          <w:sz w:val="34"/>
          <w:rtl/>
        </w:rPr>
        <w:t>زكاة</w:t>
      </w:r>
      <w:r w:rsidRPr="0082718F">
        <w:rPr>
          <w:rFonts w:ascii="IRBadr" w:hAnsi="IRBadr" w:cs="IRBadr"/>
          <w:color w:val="000080"/>
          <w:sz w:val="34"/>
          <w:rtl/>
        </w:rPr>
        <w:t xml:space="preserve"> </w:t>
      </w:r>
      <w:r w:rsidRPr="0082718F">
        <w:rPr>
          <w:rFonts w:ascii="IRBadr" w:hAnsi="IRBadr" w:cs="IRBadr" w:hint="cs"/>
          <w:color w:val="000080"/>
          <w:sz w:val="34"/>
          <w:rtl/>
        </w:rPr>
        <w:t>على</w:t>
      </w:r>
      <w:r w:rsidRPr="0082718F">
        <w:rPr>
          <w:rFonts w:ascii="IRBadr" w:hAnsi="IRBadr" w:cs="IRBadr"/>
          <w:color w:val="000080"/>
          <w:sz w:val="34"/>
          <w:rtl/>
        </w:rPr>
        <w:t xml:space="preserve"> </w:t>
      </w:r>
      <w:r w:rsidRPr="0082718F">
        <w:rPr>
          <w:rFonts w:ascii="IRBadr" w:hAnsi="IRBadr" w:cs="IRBadr" w:hint="cs"/>
          <w:color w:val="000080"/>
          <w:sz w:val="34"/>
          <w:rtl/>
        </w:rPr>
        <w:t>غلة</w:t>
      </w:r>
      <w:r w:rsidRPr="0082718F">
        <w:rPr>
          <w:rFonts w:ascii="IRBadr" w:hAnsi="IRBadr" w:cs="IRBadr"/>
          <w:color w:val="000080"/>
          <w:sz w:val="34"/>
          <w:rtl/>
        </w:rPr>
        <w:t xml:space="preserve"> </w:t>
      </w:r>
      <w:r w:rsidRPr="0082718F">
        <w:rPr>
          <w:rFonts w:ascii="IRBadr" w:hAnsi="IRBadr" w:cs="IRBadr" w:hint="cs"/>
          <w:color w:val="000080"/>
          <w:sz w:val="34"/>
          <w:rtl/>
        </w:rPr>
        <w:t>حتى</w:t>
      </w:r>
      <w:r w:rsidRPr="0082718F">
        <w:rPr>
          <w:rFonts w:ascii="IRBadr" w:hAnsi="IRBadr" w:cs="IRBadr"/>
          <w:color w:val="000080"/>
          <w:sz w:val="34"/>
          <w:rtl/>
        </w:rPr>
        <w:t xml:space="preserve"> </w:t>
      </w:r>
      <w:r w:rsidRPr="0082718F">
        <w:rPr>
          <w:rFonts w:ascii="IRBadr" w:hAnsi="IRBadr" w:cs="IRBadr" w:hint="cs"/>
          <w:color w:val="000080"/>
          <w:sz w:val="34"/>
          <w:rtl/>
        </w:rPr>
        <w:t>تبلغ</w:t>
      </w:r>
      <w:r w:rsidRPr="0082718F">
        <w:rPr>
          <w:rFonts w:ascii="IRBadr" w:hAnsi="IRBadr" w:cs="IRBadr"/>
          <w:color w:val="000080"/>
          <w:sz w:val="34"/>
          <w:rtl/>
        </w:rPr>
        <w:t xml:space="preserve"> </w:t>
      </w:r>
      <w:r w:rsidRPr="0082718F">
        <w:rPr>
          <w:rFonts w:ascii="IRBadr" w:hAnsi="IRBadr" w:cs="IRBadr" w:hint="cs"/>
          <w:color w:val="000080"/>
          <w:sz w:val="34"/>
          <w:rtl/>
        </w:rPr>
        <w:t>حد</w:t>
      </w:r>
      <w:r w:rsidRPr="0082718F">
        <w:rPr>
          <w:rFonts w:ascii="IRBadr" w:hAnsi="IRBadr" w:cs="IRBadr"/>
          <w:color w:val="000080"/>
          <w:sz w:val="34"/>
          <w:rtl/>
        </w:rPr>
        <w:t xml:space="preserve"> </w:t>
      </w:r>
      <w:r w:rsidRPr="0082718F">
        <w:rPr>
          <w:rFonts w:ascii="IRBadr" w:hAnsi="IRBadr" w:cs="IRBadr" w:hint="cs"/>
          <w:color w:val="000080"/>
          <w:sz w:val="34"/>
          <w:rtl/>
        </w:rPr>
        <w:t>ما</w:t>
      </w:r>
      <w:r w:rsidRPr="0082718F">
        <w:rPr>
          <w:rFonts w:ascii="IRBadr" w:hAnsi="IRBadr" w:cs="IRBadr"/>
          <w:color w:val="000080"/>
          <w:sz w:val="34"/>
          <w:rtl/>
        </w:rPr>
        <w:t xml:space="preserve"> </w:t>
      </w:r>
      <w:r w:rsidRPr="0082718F">
        <w:rPr>
          <w:rFonts w:ascii="IRBadr" w:hAnsi="IRBadr" w:cs="IRBadr" w:hint="cs"/>
          <w:color w:val="000080"/>
          <w:sz w:val="34"/>
          <w:rtl/>
        </w:rPr>
        <w:t>تجب</w:t>
      </w:r>
      <w:r w:rsidRPr="0082718F">
        <w:rPr>
          <w:rFonts w:ascii="IRBadr" w:hAnsi="IRBadr" w:cs="IRBadr"/>
          <w:color w:val="000080"/>
          <w:sz w:val="34"/>
          <w:rtl/>
        </w:rPr>
        <w:t xml:space="preserve"> </w:t>
      </w:r>
      <w:r w:rsidRPr="0082718F">
        <w:rPr>
          <w:rFonts w:ascii="IRBadr" w:hAnsi="IRBadr" w:cs="IRBadr" w:hint="cs"/>
          <w:color w:val="000080"/>
          <w:sz w:val="34"/>
          <w:rtl/>
        </w:rPr>
        <w:t>فيه</w:t>
      </w:r>
      <w:r w:rsidRPr="0082718F">
        <w:rPr>
          <w:rFonts w:ascii="IRBadr" w:hAnsi="IRBadr" w:cs="IRBadr"/>
          <w:color w:val="000080"/>
          <w:sz w:val="34"/>
          <w:rtl/>
        </w:rPr>
        <w:t xml:space="preserve"> </w:t>
      </w:r>
      <w:r w:rsidRPr="0082718F">
        <w:rPr>
          <w:rFonts w:ascii="IRBadr" w:hAnsi="IRBadr" w:cs="IRBadr" w:hint="cs"/>
          <w:color w:val="000080"/>
          <w:sz w:val="34"/>
          <w:rtl/>
        </w:rPr>
        <w:t>الزكاة</w:t>
      </w:r>
      <w:r w:rsidRPr="0082718F">
        <w:rPr>
          <w:rFonts w:ascii="IRBadr" w:hAnsi="IRBadr" w:cs="IRBadr"/>
          <w:color w:val="000080"/>
          <w:sz w:val="34"/>
          <w:rtl/>
        </w:rPr>
        <w:t xml:space="preserve"> </w:t>
      </w:r>
      <w:r w:rsidRPr="0082718F">
        <w:rPr>
          <w:rFonts w:ascii="IRBadr" w:hAnsi="IRBadr" w:cs="IRBadr" w:hint="cs"/>
          <w:color w:val="000080"/>
          <w:sz w:val="34"/>
          <w:rtl/>
        </w:rPr>
        <w:t>بعد</w:t>
      </w:r>
      <w:r w:rsidRPr="0082718F">
        <w:rPr>
          <w:rFonts w:ascii="IRBadr" w:hAnsi="IRBadr" w:cs="IRBadr"/>
          <w:color w:val="000080"/>
          <w:sz w:val="34"/>
          <w:rtl/>
        </w:rPr>
        <w:t xml:space="preserve"> </w:t>
      </w:r>
      <w:r w:rsidRPr="0082718F">
        <w:rPr>
          <w:rFonts w:ascii="IRBadr" w:hAnsi="IRBadr" w:cs="IRBadr" w:hint="cs"/>
          <w:color w:val="000080"/>
          <w:sz w:val="34"/>
          <w:rtl/>
        </w:rPr>
        <w:t>الخرص</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الجذاذ</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الحصاد</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خروج</w:t>
      </w:r>
      <w:r w:rsidRPr="0082718F">
        <w:rPr>
          <w:rFonts w:ascii="IRBadr" w:hAnsi="IRBadr" w:cs="IRBadr"/>
          <w:color w:val="000080"/>
          <w:sz w:val="34"/>
          <w:rtl/>
        </w:rPr>
        <w:t xml:space="preserve"> </w:t>
      </w:r>
      <w:r w:rsidRPr="0082718F">
        <w:rPr>
          <w:rFonts w:ascii="IRBadr" w:hAnsi="IRBadr" w:cs="IRBadr" w:hint="cs"/>
          <w:color w:val="000080"/>
          <w:sz w:val="34"/>
          <w:rtl/>
        </w:rPr>
        <w:t>مئونتها</w:t>
      </w:r>
      <w:r w:rsidRPr="0082718F">
        <w:rPr>
          <w:rFonts w:ascii="IRBadr" w:hAnsi="IRBadr" w:cs="IRBadr"/>
          <w:color w:val="000080"/>
          <w:sz w:val="34"/>
          <w:rtl/>
        </w:rPr>
        <w:t xml:space="preserve"> </w:t>
      </w:r>
      <w:r w:rsidRPr="0082718F">
        <w:rPr>
          <w:rFonts w:ascii="IRBadr" w:hAnsi="IRBadr" w:cs="IRBadr" w:hint="cs"/>
          <w:color w:val="000080"/>
          <w:sz w:val="34"/>
          <w:rtl/>
        </w:rPr>
        <w:t>منها</w:t>
      </w:r>
      <w:r w:rsidRPr="0082718F">
        <w:rPr>
          <w:rFonts w:ascii="IRBadr" w:hAnsi="IRBadr" w:cs="IRBadr"/>
          <w:color w:val="000080"/>
          <w:sz w:val="34"/>
          <w:rtl/>
        </w:rPr>
        <w:t xml:space="preserve"> </w:t>
      </w:r>
      <w:r w:rsidRPr="0082718F">
        <w:rPr>
          <w:rFonts w:ascii="IRBadr" w:hAnsi="IRBadr" w:cs="IRBadr" w:hint="cs"/>
          <w:color w:val="000080"/>
          <w:sz w:val="34"/>
          <w:rtl/>
        </w:rPr>
        <w:t>و</w:t>
      </w:r>
      <w:r w:rsidRPr="0082718F">
        <w:rPr>
          <w:rFonts w:ascii="IRBadr" w:hAnsi="IRBadr" w:cs="IRBadr"/>
          <w:color w:val="000080"/>
          <w:sz w:val="34"/>
          <w:rtl/>
        </w:rPr>
        <w:t xml:space="preserve"> </w:t>
      </w:r>
      <w:r w:rsidRPr="0082718F">
        <w:rPr>
          <w:rFonts w:ascii="IRBadr" w:hAnsi="IRBadr" w:cs="IRBadr" w:hint="cs"/>
          <w:color w:val="000080"/>
          <w:sz w:val="34"/>
          <w:rtl/>
        </w:rPr>
        <w:t>خراج</w:t>
      </w:r>
      <w:r w:rsidRPr="0082718F">
        <w:rPr>
          <w:rFonts w:ascii="IRBadr" w:hAnsi="IRBadr" w:cs="IRBadr"/>
          <w:color w:val="000080"/>
          <w:sz w:val="34"/>
          <w:rtl/>
        </w:rPr>
        <w:t xml:space="preserve"> </w:t>
      </w:r>
      <w:r w:rsidRPr="0082718F">
        <w:rPr>
          <w:rFonts w:ascii="IRBadr" w:hAnsi="IRBadr" w:cs="IRBadr" w:hint="cs"/>
          <w:color w:val="000080"/>
          <w:sz w:val="34"/>
          <w:rtl/>
        </w:rPr>
        <w:t>السلطان»</w:t>
      </w:r>
      <w:r>
        <w:rPr>
          <w:rStyle w:val="FootnoteReference"/>
          <w:rFonts w:ascii="IRBadr" w:hAnsi="IRBadr" w:cs="IRBadr"/>
          <w:color w:val="000080"/>
          <w:sz w:val="34"/>
          <w:rtl/>
        </w:rPr>
        <w:footnoteReference w:id="6"/>
      </w:r>
      <w:r>
        <w:rPr>
          <w:rFonts w:ascii="IRBadr" w:hAnsi="IRBadr" w:cs="IRBadr" w:hint="cs"/>
          <w:sz w:val="34"/>
          <w:rtl/>
        </w:rPr>
        <w:t>.</w:t>
      </w:r>
    </w:p>
    <w:p w:rsidR="0082718F" w:rsidRDefault="0082718F" w:rsidP="00704102">
      <w:pPr>
        <w:rPr>
          <w:rFonts w:ascii="IRBadr" w:hAnsi="IRBadr" w:cs="IRBadr"/>
          <w:sz w:val="34"/>
          <w:rtl/>
        </w:rPr>
      </w:pPr>
      <w:r>
        <w:rPr>
          <w:rFonts w:ascii="IRBadr" w:hAnsi="IRBadr" w:cs="IRBadr" w:hint="cs"/>
          <w:sz w:val="34"/>
          <w:rtl/>
        </w:rPr>
        <w:t xml:space="preserve">در این عبارت باید توجه کرد که قید «بعد الخرص...» متعلق به «تبلغ» است یا آنکه متعلق به «لا زکاة» است. اگر متعلّق به «تبلغ» باشد، عبارت ناظر به عدم محاسبه موارد استثناشده، در نصاب خواهد بود، و اگر متعلق به «لا زکاة» باشد، معنایش </w:t>
      </w:r>
      <w:r w:rsidR="00704102">
        <w:rPr>
          <w:rFonts w:ascii="IRBadr" w:hAnsi="IRBadr" w:cs="IRBadr" w:hint="cs"/>
          <w:sz w:val="34"/>
          <w:rtl/>
        </w:rPr>
        <w:t>عدم وجوب زکات در مئونه‌ است. این عبارت مجمل است.</w:t>
      </w:r>
    </w:p>
    <w:p w:rsidR="000D7224" w:rsidRDefault="000D7224" w:rsidP="000D7224">
      <w:pPr>
        <w:pStyle w:val="Heading3"/>
        <w:rPr>
          <w:rtl/>
        </w:rPr>
      </w:pPr>
      <w:bookmarkStart w:id="12" w:name="_Toc196078325"/>
      <w:r>
        <w:rPr>
          <w:rFonts w:hint="cs"/>
          <w:rtl/>
        </w:rPr>
        <w:t>عبارات مختلف شیخ در کتب مختلف و ذکر جمع بین آنها</w:t>
      </w:r>
      <w:bookmarkEnd w:id="12"/>
    </w:p>
    <w:p w:rsidR="000D7224" w:rsidRDefault="000D7224" w:rsidP="000D7224">
      <w:pPr>
        <w:rPr>
          <w:rFonts w:ascii="IRBadr" w:hAnsi="IRBadr" w:cs="IRBadr"/>
          <w:sz w:val="34"/>
          <w:rtl/>
        </w:rPr>
      </w:pPr>
      <w:r>
        <w:rPr>
          <w:rFonts w:ascii="IRBadr" w:hAnsi="IRBadr" w:cs="IRBadr" w:hint="cs"/>
          <w:sz w:val="34"/>
          <w:rtl/>
        </w:rPr>
        <w:t>در ادامه به بررسی کلمات متفاوت شیخ در کتب مخاتف و بیان وجه جمع بین عبارات وی می‌پردازیم.</w:t>
      </w:r>
    </w:p>
    <w:p w:rsidR="000D7224" w:rsidRDefault="000D7224" w:rsidP="000D7224">
      <w:pPr>
        <w:pStyle w:val="Heading4"/>
        <w:rPr>
          <w:rtl/>
        </w:rPr>
      </w:pPr>
      <w:bookmarkStart w:id="13" w:name="_Toc196078326"/>
      <w:r>
        <w:rPr>
          <w:rFonts w:hint="cs"/>
          <w:rtl/>
        </w:rPr>
        <w:t>عبارت نهایه</w:t>
      </w:r>
      <w:bookmarkEnd w:id="13"/>
    </w:p>
    <w:p w:rsidR="00704102" w:rsidRDefault="00704102" w:rsidP="00704102">
      <w:pPr>
        <w:rPr>
          <w:rFonts w:ascii="IRBadr" w:hAnsi="IRBadr" w:cs="IRBadr"/>
          <w:sz w:val="34"/>
          <w:rtl/>
        </w:rPr>
      </w:pPr>
      <w:r>
        <w:rPr>
          <w:rFonts w:ascii="IRBadr" w:hAnsi="IRBadr" w:cs="IRBadr" w:hint="cs"/>
          <w:sz w:val="34"/>
          <w:rtl/>
        </w:rPr>
        <w:t>عبارت نهایه شیخ به شرح زیر است:</w:t>
      </w:r>
    </w:p>
    <w:p w:rsidR="00704102" w:rsidRDefault="00704102" w:rsidP="00704102">
      <w:pPr>
        <w:rPr>
          <w:rFonts w:ascii="IRBadr" w:hAnsi="IRBadr" w:cs="IRBadr"/>
          <w:sz w:val="34"/>
          <w:rtl/>
        </w:rPr>
      </w:pPr>
      <w:r w:rsidRPr="00704102">
        <w:rPr>
          <w:rFonts w:ascii="IRBadr" w:hAnsi="IRBadr" w:cs="IRBadr" w:hint="cs"/>
          <w:color w:val="000080"/>
          <w:sz w:val="34"/>
          <w:rtl/>
        </w:rPr>
        <w:t>«و</w:t>
      </w:r>
      <w:r w:rsidRPr="00704102">
        <w:rPr>
          <w:rFonts w:ascii="IRBadr" w:hAnsi="IRBadr" w:cs="IRBadr"/>
          <w:color w:val="000080"/>
          <w:sz w:val="34"/>
          <w:rtl/>
        </w:rPr>
        <w:t xml:space="preserve"> </w:t>
      </w:r>
      <w:r w:rsidRPr="00704102">
        <w:rPr>
          <w:rFonts w:ascii="IRBadr" w:hAnsi="IRBadr" w:cs="IRBadr" w:hint="cs"/>
          <w:color w:val="000080"/>
          <w:sz w:val="34"/>
          <w:rtl/>
        </w:rPr>
        <w:t>ليس</w:t>
      </w:r>
      <w:r w:rsidRPr="00704102">
        <w:rPr>
          <w:rFonts w:ascii="IRBadr" w:hAnsi="IRBadr" w:cs="IRBadr"/>
          <w:color w:val="000080"/>
          <w:sz w:val="34"/>
          <w:rtl/>
        </w:rPr>
        <w:t xml:space="preserve"> </w:t>
      </w:r>
      <w:r w:rsidRPr="00704102">
        <w:rPr>
          <w:rFonts w:ascii="IRBadr" w:hAnsi="IRBadr" w:cs="IRBadr" w:hint="cs"/>
          <w:color w:val="000080"/>
          <w:sz w:val="34"/>
          <w:rtl/>
        </w:rPr>
        <w:t>في</w:t>
      </w:r>
      <w:r w:rsidRPr="00704102">
        <w:rPr>
          <w:rFonts w:ascii="IRBadr" w:hAnsi="IRBadr" w:cs="IRBadr"/>
          <w:color w:val="000080"/>
          <w:sz w:val="34"/>
          <w:rtl/>
        </w:rPr>
        <w:t xml:space="preserve"> </w:t>
      </w:r>
      <w:r w:rsidRPr="00704102">
        <w:rPr>
          <w:rFonts w:ascii="IRBadr" w:hAnsi="IRBadr" w:cs="IRBadr" w:hint="cs"/>
          <w:color w:val="000080"/>
          <w:sz w:val="34"/>
          <w:rtl/>
        </w:rPr>
        <w:t>شي‌ء</w:t>
      </w:r>
      <w:r w:rsidRPr="00704102">
        <w:rPr>
          <w:rFonts w:ascii="IRBadr" w:hAnsi="IRBadr" w:cs="IRBadr"/>
          <w:color w:val="000080"/>
          <w:sz w:val="34"/>
          <w:rtl/>
        </w:rPr>
        <w:t xml:space="preserve"> </w:t>
      </w:r>
      <w:r w:rsidRPr="00704102">
        <w:rPr>
          <w:rFonts w:ascii="IRBadr" w:hAnsi="IRBadr" w:cs="IRBadr" w:hint="cs"/>
          <w:color w:val="000080"/>
          <w:sz w:val="34"/>
          <w:rtl/>
        </w:rPr>
        <w:t>من</w:t>
      </w:r>
      <w:r w:rsidRPr="00704102">
        <w:rPr>
          <w:rFonts w:ascii="IRBadr" w:hAnsi="IRBadr" w:cs="IRBadr"/>
          <w:color w:val="000080"/>
          <w:sz w:val="34"/>
          <w:rtl/>
        </w:rPr>
        <w:t xml:space="preserve"> </w:t>
      </w:r>
      <w:r w:rsidRPr="00704102">
        <w:rPr>
          <w:rFonts w:ascii="IRBadr" w:hAnsi="IRBadr" w:cs="IRBadr" w:hint="cs"/>
          <w:color w:val="000080"/>
          <w:sz w:val="34"/>
          <w:rtl/>
        </w:rPr>
        <w:t>هذه</w:t>
      </w:r>
      <w:r w:rsidRPr="00704102">
        <w:rPr>
          <w:rFonts w:ascii="IRBadr" w:hAnsi="IRBadr" w:cs="IRBadr"/>
          <w:color w:val="000080"/>
          <w:sz w:val="34"/>
          <w:rtl/>
        </w:rPr>
        <w:t xml:space="preserve"> </w:t>
      </w:r>
      <w:r w:rsidRPr="00704102">
        <w:rPr>
          <w:rFonts w:ascii="IRBadr" w:hAnsi="IRBadr" w:cs="IRBadr" w:hint="cs"/>
          <w:color w:val="000080"/>
          <w:sz w:val="34"/>
          <w:rtl/>
        </w:rPr>
        <w:t>الأجناس</w:t>
      </w:r>
      <w:r w:rsidRPr="00704102">
        <w:rPr>
          <w:rFonts w:ascii="IRBadr" w:hAnsi="IRBadr" w:cs="IRBadr"/>
          <w:color w:val="000080"/>
          <w:sz w:val="34"/>
          <w:rtl/>
        </w:rPr>
        <w:t xml:space="preserve"> </w:t>
      </w:r>
      <w:r w:rsidRPr="00704102">
        <w:rPr>
          <w:rFonts w:ascii="IRBadr" w:hAnsi="IRBadr" w:cs="IRBadr" w:hint="cs"/>
          <w:color w:val="000080"/>
          <w:sz w:val="34"/>
          <w:rtl/>
        </w:rPr>
        <w:t>زكاة</w:t>
      </w:r>
      <w:r w:rsidRPr="00704102">
        <w:rPr>
          <w:rFonts w:ascii="IRBadr" w:hAnsi="IRBadr" w:cs="IRBadr"/>
          <w:color w:val="000080"/>
          <w:sz w:val="34"/>
          <w:rtl/>
        </w:rPr>
        <w:t xml:space="preserve"> </w:t>
      </w:r>
      <w:r w:rsidRPr="00704102">
        <w:rPr>
          <w:rFonts w:ascii="IRBadr" w:hAnsi="IRBadr" w:cs="IRBadr" w:hint="cs"/>
          <w:color w:val="000080"/>
          <w:sz w:val="34"/>
          <w:rtl/>
        </w:rPr>
        <w:t>ما</w:t>
      </w:r>
      <w:r w:rsidRPr="00704102">
        <w:rPr>
          <w:rFonts w:ascii="IRBadr" w:hAnsi="IRBadr" w:cs="IRBadr"/>
          <w:color w:val="000080"/>
          <w:sz w:val="34"/>
          <w:rtl/>
        </w:rPr>
        <w:t xml:space="preserve"> </w:t>
      </w:r>
      <w:r w:rsidRPr="00704102">
        <w:rPr>
          <w:rFonts w:ascii="IRBadr" w:hAnsi="IRBadr" w:cs="IRBadr" w:hint="cs"/>
          <w:color w:val="000080"/>
          <w:sz w:val="34"/>
          <w:rtl/>
        </w:rPr>
        <w:t>لم</w:t>
      </w:r>
      <w:r w:rsidRPr="00704102">
        <w:rPr>
          <w:rFonts w:ascii="IRBadr" w:hAnsi="IRBadr" w:cs="IRBadr"/>
          <w:color w:val="000080"/>
          <w:sz w:val="34"/>
          <w:rtl/>
        </w:rPr>
        <w:t xml:space="preserve"> </w:t>
      </w:r>
      <w:r w:rsidRPr="00704102">
        <w:rPr>
          <w:rFonts w:ascii="IRBadr" w:hAnsi="IRBadr" w:cs="IRBadr" w:hint="cs"/>
          <w:color w:val="000080"/>
          <w:sz w:val="34"/>
          <w:rtl/>
        </w:rPr>
        <w:t>يبلغ</w:t>
      </w:r>
      <w:r w:rsidRPr="00704102">
        <w:rPr>
          <w:rFonts w:ascii="IRBadr" w:hAnsi="IRBadr" w:cs="IRBadr"/>
          <w:color w:val="000080"/>
          <w:sz w:val="34"/>
          <w:rtl/>
        </w:rPr>
        <w:t xml:space="preserve"> </w:t>
      </w:r>
      <w:r w:rsidRPr="00704102">
        <w:rPr>
          <w:rFonts w:ascii="IRBadr" w:hAnsi="IRBadr" w:cs="IRBadr" w:hint="cs"/>
          <w:color w:val="000080"/>
          <w:sz w:val="34"/>
          <w:rtl/>
        </w:rPr>
        <w:t>خمسة</w:t>
      </w:r>
      <w:r w:rsidRPr="00704102">
        <w:rPr>
          <w:rFonts w:ascii="IRBadr" w:hAnsi="IRBadr" w:cs="IRBadr"/>
          <w:color w:val="000080"/>
          <w:sz w:val="34"/>
          <w:rtl/>
        </w:rPr>
        <w:t xml:space="preserve"> </w:t>
      </w:r>
      <w:r w:rsidRPr="00704102">
        <w:rPr>
          <w:rFonts w:ascii="IRBadr" w:hAnsi="IRBadr" w:cs="IRBadr" w:hint="cs"/>
          <w:color w:val="000080"/>
          <w:sz w:val="34"/>
          <w:rtl/>
        </w:rPr>
        <w:t>أوسق</w:t>
      </w:r>
      <w:r w:rsidRPr="00704102">
        <w:rPr>
          <w:rFonts w:ascii="IRBadr" w:hAnsi="IRBadr" w:cs="IRBadr"/>
          <w:color w:val="000080"/>
          <w:sz w:val="34"/>
          <w:rtl/>
        </w:rPr>
        <w:t xml:space="preserve"> </w:t>
      </w:r>
      <w:r w:rsidRPr="00704102">
        <w:rPr>
          <w:rFonts w:ascii="IRBadr" w:hAnsi="IRBadr" w:cs="IRBadr" w:hint="cs"/>
          <w:color w:val="000080"/>
          <w:sz w:val="34"/>
          <w:rtl/>
        </w:rPr>
        <w:t>بعد</w:t>
      </w:r>
      <w:r w:rsidRPr="00704102">
        <w:rPr>
          <w:rFonts w:ascii="IRBadr" w:hAnsi="IRBadr" w:cs="IRBadr"/>
          <w:color w:val="000080"/>
          <w:sz w:val="34"/>
          <w:rtl/>
        </w:rPr>
        <w:t xml:space="preserve"> </w:t>
      </w:r>
      <w:r w:rsidRPr="00704102">
        <w:rPr>
          <w:rFonts w:ascii="IRBadr" w:hAnsi="IRBadr" w:cs="IRBadr" w:hint="cs"/>
          <w:color w:val="000080"/>
          <w:sz w:val="34"/>
          <w:rtl/>
        </w:rPr>
        <w:t>مقاسمة</w:t>
      </w:r>
      <w:r w:rsidRPr="00704102">
        <w:rPr>
          <w:rFonts w:ascii="IRBadr" w:hAnsi="IRBadr" w:cs="IRBadr"/>
          <w:color w:val="000080"/>
          <w:sz w:val="34"/>
          <w:rtl/>
        </w:rPr>
        <w:t xml:space="preserve"> </w:t>
      </w:r>
      <w:r w:rsidRPr="00704102">
        <w:rPr>
          <w:rFonts w:ascii="IRBadr" w:hAnsi="IRBadr" w:cs="IRBadr" w:hint="cs"/>
          <w:color w:val="000080"/>
          <w:sz w:val="34"/>
          <w:rtl/>
        </w:rPr>
        <w:t>السلطان</w:t>
      </w:r>
      <w:r w:rsidRPr="00704102">
        <w:rPr>
          <w:rFonts w:ascii="IRBadr" w:hAnsi="IRBadr" w:cs="IRBadr"/>
          <w:color w:val="000080"/>
          <w:sz w:val="34"/>
          <w:rtl/>
        </w:rPr>
        <w:t xml:space="preserve"> </w:t>
      </w:r>
      <w:r w:rsidRPr="00704102">
        <w:rPr>
          <w:rFonts w:ascii="IRBadr" w:hAnsi="IRBadr" w:cs="IRBadr" w:hint="cs"/>
          <w:color w:val="000080"/>
          <w:sz w:val="34"/>
          <w:rtl/>
        </w:rPr>
        <w:t>و</w:t>
      </w:r>
      <w:r w:rsidRPr="00704102">
        <w:rPr>
          <w:rFonts w:ascii="IRBadr" w:hAnsi="IRBadr" w:cs="IRBadr"/>
          <w:color w:val="000080"/>
          <w:sz w:val="34"/>
          <w:rtl/>
        </w:rPr>
        <w:t xml:space="preserve"> </w:t>
      </w:r>
      <w:r w:rsidRPr="00704102">
        <w:rPr>
          <w:rFonts w:ascii="IRBadr" w:hAnsi="IRBadr" w:cs="IRBadr" w:hint="cs"/>
          <w:color w:val="000080"/>
          <w:sz w:val="34"/>
          <w:rtl/>
        </w:rPr>
        <w:t>إخراج</w:t>
      </w:r>
      <w:r w:rsidRPr="00704102">
        <w:rPr>
          <w:rFonts w:ascii="IRBadr" w:hAnsi="IRBadr" w:cs="IRBadr"/>
          <w:color w:val="000080"/>
          <w:sz w:val="34"/>
          <w:rtl/>
        </w:rPr>
        <w:t xml:space="preserve"> </w:t>
      </w:r>
      <w:r w:rsidRPr="00704102">
        <w:rPr>
          <w:rFonts w:ascii="IRBadr" w:hAnsi="IRBadr" w:cs="IRBadr" w:hint="cs"/>
          <w:color w:val="000080"/>
          <w:sz w:val="34"/>
          <w:rtl/>
        </w:rPr>
        <w:t>المؤن</w:t>
      </w:r>
      <w:r w:rsidRPr="00704102">
        <w:rPr>
          <w:rFonts w:ascii="IRBadr" w:hAnsi="IRBadr" w:cs="IRBadr"/>
          <w:color w:val="000080"/>
          <w:sz w:val="34"/>
          <w:rtl/>
        </w:rPr>
        <w:t xml:space="preserve"> </w:t>
      </w:r>
      <w:r w:rsidRPr="00704102">
        <w:rPr>
          <w:rFonts w:ascii="IRBadr" w:hAnsi="IRBadr" w:cs="IRBadr" w:hint="cs"/>
          <w:color w:val="000080"/>
          <w:sz w:val="34"/>
          <w:rtl/>
        </w:rPr>
        <w:t>عنها»</w:t>
      </w:r>
      <w:r>
        <w:rPr>
          <w:rStyle w:val="FootnoteReference"/>
          <w:rFonts w:ascii="IRBadr" w:hAnsi="IRBadr" w:cs="IRBadr"/>
          <w:color w:val="000080"/>
          <w:sz w:val="34"/>
          <w:rtl/>
        </w:rPr>
        <w:footnoteReference w:id="7"/>
      </w:r>
      <w:r w:rsidRPr="00704102">
        <w:rPr>
          <w:rFonts w:ascii="IRBadr" w:hAnsi="IRBadr" w:cs="IRBadr"/>
          <w:sz w:val="34"/>
          <w:rtl/>
        </w:rPr>
        <w:t>.</w:t>
      </w:r>
    </w:p>
    <w:p w:rsidR="000D7224" w:rsidRDefault="00704102" w:rsidP="00704102">
      <w:pPr>
        <w:rPr>
          <w:rFonts w:ascii="IRBadr" w:hAnsi="IRBadr" w:cs="IRBadr"/>
          <w:sz w:val="34"/>
          <w:rtl/>
        </w:rPr>
      </w:pPr>
      <w:r>
        <w:rPr>
          <w:rFonts w:ascii="IRBadr" w:hAnsi="IRBadr" w:cs="IRBadr" w:hint="cs"/>
          <w:sz w:val="34"/>
          <w:rtl/>
        </w:rPr>
        <w:lastRenderedPageBreak/>
        <w:t xml:space="preserve">این عبارت نیز ظاهرا ناظر به عدم محاسبه مئونه در نصاب است. ظاهر این تعابیر آن است که ناظر به مئونه‌های سابقه است؛ چرا که ظاهر در مئونه‌هایی است که در زمان تعلق زکات، فعلیت یافته است، و اینکه شامل مئونه‌های مستقبل به نحو شرط متاخر بشود، دست‌کم خلاف قدرمتیقّن آن است. </w:t>
      </w:r>
    </w:p>
    <w:p w:rsidR="000D7224" w:rsidRDefault="000D7224" w:rsidP="000D7224">
      <w:pPr>
        <w:pStyle w:val="Heading4"/>
        <w:rPr>
          <w:rtl/>
        </w:rPr>
      </w:pPr>
      <w:bookmarkStart w:id="14" w:name="_Toc196078327"/>
      <w:r>
        <w:rPr>
          <w:rFonts w:hint="cs"/>
          <w:rtl/>
        </w:rPr>
        <w:t>عبارت خلاف</w:t>
      </w:r>
      <w:bookmarkEnd w:id="14"/>
    </w:p>
    <w:p w:rsidR="00704102" w:rsidRDefault="00704102" w:rsidP="00704102">
      <w:pPr>
        <w:rPr>
          <w:rFonts w:ascii="IRBadr" w:hAnsi="IRBadr" w:cs="IRBadr"/>
          <w:sz w:val="34"/>
          <w:rtl/>
        </w:rPr>
      </w:pPr>
      <w:r>
        <w:rPr>
          <w:rFonts w:ascii="IRBadr" w:hAnsi="IRBadr" w:cs="IRBadr" w:hint="cs"/>
          <w:sz w:val="34"/>
          <w:rtl/>
        </w:rPr>
        <w:t>عبارت شیخ در خلاف بدین صورت است:</w:t>
      </w:r>
    </w:p>
    <w:p w:rsidR="00704102" w:rsidRDefault="00704102" w:rsidP="00704102">
      <w:pPr>
        <w:rPr>
          <w:rFonts w:ascii="IRBadr" w:hAnsi="IRBadr" w:cs="IRBadr"/>
          <w:sz w:val="34"/>
          <w:rtl/>
        </w:rPr>
      </w:pPr>
      <w:r w:rsidRPr="00704102">
        <w:rPr>
          <w:rFonts w:ascii="IRBadr" w:hAnsi="IRBadr" w:cs="IRBadr" w:hint="cs"/>
          <w:color w:val="000080"/>
          <w:sz w:val="34"/>
          <w:rtl/>
        </w:rPr>
        <w:t>«مسألة</w:t>
      </w:r>
      <w:r w:rsidRPr="00704102">
        <w:rPr>
          <w:rFonts w:ascii="IRBadr" w:hAnsi="IRBadr" w:cs="IRBadr"/>
          <w:color w:val="000080"/>
          <w:sz w:val="34"/>
          <w:rtl/>
        </w:rPr>
        <w:t xml:space="preserve"> 78: </w:t>
      </w:r>
      <w:r w:rsidRPr="00704102">
        <w:rPr>
          <w:rFonts w:ascii="IRBadr" w:hAnsi="IRBadr" w:cs="IRBadr" w:hint="cs"/>
          <w:color w:val="000080"/>
          <w:sz w:val="34"/>
          <w:rtl/>
        </w:rPr>
        <w:t>كل</w:t>
      </w:r>
      <w:r w:rsidRPr="00704102">
        <w:rPr>
          <w:rFonts w:ascii="IRBadr" w:hAnsi="IRBadr" w:cs="IRBadr"/>
          <w:color w:val="000080"/>
          <w:sz w:val="34"/>
          <w:rtl/>
        </w:rPr>
        <w:t xml:space="preserve"> </w:t>
      </w:r>
      <w:r w:rsidRPr="00704102">
        <w:rPr>
          <w:rFonts w:ascii="IRBadr" w:hAnsi="IRBadr" w:cs="IRBadr" w:hint="cs"/>
          <w:color w:val="000080"/>
          <w:sz w:val="34"/>
          <w:rtl/>
        </w:rPr>
        <w:t>مؤنة</w:t>
      </w:r>
      <w:r w:rsidRPr="00704102">
        <w:rPr>
          <w:rFonts w:ascii="IRBadr" w:hAnsi="IRBadr" w:cs="IRBadr"/>
          <w:color w:val="000080"/>
          <w:sz w:val="34"/>
          <w:rtl/>
        </w:rPr>
        <w:t xml:space="preserve"> </w:t>
      </w:r>
      <w:r w:rsidRPr="00704102">
        <w:rPr>
          <w:rFonts w:ascii="IRBadr" w:hAnsi="IRBadr" w:cs="IRBadr" w:hint="cs"/>
          <w:color w:val="000080"/>
          <w:sz w:val="34"/>
          <w:rtl/>
        </w:rPr>
        <w:t>تلحق</w:t>
      </w:r>
      <w:r w:rsidRPr="00704102">
        <w:rPr>
          <w:rFonts w:ascii="IRBadr" w:hAnsi="IRBadr" w:cs="IRBadr"/>
          <w:color w:val="000080"/>
          <w:sz w:val="34"/>
          <w:rtl/>
        </w:rPr>
        <w:t xml:space="preserve"> </w:t>
      </w:r>
      <w:r w:rsidRPr="00704102">
        <w:rPr>
          <w:rFonts w:ascii="IRBadr" w:hAnsi="IRBadr" w:cs="IRBadr" w:hint="cs"/>
          <w:color w:val="000080"/>
          <w:sz w:val="34"/>
          <w:rtl/>
        </w:rPr>
        <w:t>الغلات</w:t>
      </w:r>
      <w:r w:rsidRPr="00704102">
        <w:rPr>
          <w:rFonts w:ascii="IRBadr" w:hAnsi="IRBadr" w:cs="IRBadr"/>
          <w:color w:val="000080"/>
          <w:sz w:val="34"/>
          <w:rtl/>
        </w:rPr>
        <w:t xml:space="preserve"> </w:t>
      </w:r>
      <w:r w:rsidRPr="00704102">
        <w:rPr>
          <w:rFonts w:ascii="IRBadr" w:hAnsi="IRBadr" w:cs="IRBadr" w:hint="cs"/>
          <w:color w:val="000080"/>
          <w:sz w:val="34"/>
          <w:rtl/>
        </w:rPr>
        <w:t>إلى</w:t>
      </w:r>
      <w:r w:rsidRPr="00704102">
        <w:rPr>
          <w:rFonts w:ascii="IRBadr" w:hAnsi="IRBadr" w:cs="IRBadr"/>
          <w:color w:val="000080"/>
          <w:sz w:val="34"/>
          <w:rtl/>
        </w:rPr>
        <w:t xml:space="preserve"> </w:t>
      </w:r>
      <w:r w:rsidRPr="00704102">
        <w:rPr>
          <w:rFonts w:ascii="IRBadr" w:hAnsi="IRBadr" w:cs="IRBadr" w:hint="cs"/>
          <w:color w:val="000080"/>
          <w:sz w:val="34"/>
          <w:rtl/>
        </w:rPr>
        <w:t>وقت</w:t>
      </w:r>
      <w:r w:rsidRPr="00704102">
        <w:rPr>
          <w:rFonts w:ascii="IRBadr" w:hAnsi="IRBadr" w:cs="IRBadr"/>
          <w:color w:val="000080"/>
          <w:sz w:val="34"/>
          <w:rtl/>
        </w:rPr>
        <w:t xml:space="preserve"> </w:t>
      </w:r>
      <w:r w:rsidRPr="00704102">
        <w:rPr>
          <w:rFonts w:ascii="IRBadr" w:hAnsi="IRBadr" w:cs="IRBadr" w:hint="cs"/>
          <w:color w:val="000080"/>
          <w:sz w:val="34"/>
          <w:rtl/>
        </w:rPr>
        <w:t>إخراج</w:t>
      </w:r>
      <w:r w:rsidRPr="00704102">
        <w:rPr>
          <w:rFonts w:ascii="IRBadr" w:hAnsi="IRBadr" w:cs="IRBadr"/>
          <w:color w:val="000080"/>
          <w:sz w:val="34"/>
          <w:rtl/>
        </w:rPr>
        <w:t xml:space="preserve"> </w:t>
      </w:r>
      <w:r w:rsidRPr="00704102">
        <w:rPr>
          <w:rFonts w:ascii="IRBadr" w:hAnsi="IRBadr" w:cs="IRBadr" w:hint="cs"/>
          <w:color w:val="000080"/>
          <w:sz w:val="34"/>
          <w:rtl/>
        </w:rPr>
        <w:t>الزكاة</w:t>
      </w:r>
      <w:r w:rsidRPr="00704102">
        <w:rPr>
          <w:rFonts w:ascii="IRBadr" w:hAnsi="IRBadr" w:cs="IRBadr"/>
          <w:color w:val="000080"/>
          <w:sz w:val="34"/>
          <w:rtl/>
        </w:rPr>
        <w:t xml:space="preserve"> </w:t>
      </w:r>
      <w:r w:rsidRPr="00704102">
        <w:rPr>
          <w:rFonts w:ascii="IRBadr" w:hAnsi="IRBadr" w:cs="IRBadr" w:hint="cs"/>
          <w:color w:val="000080"/>
          <w:sz w:val="34"/>
          <w:rtl/>
        </w:rPr>
        <w:t>على</w:t>
      </w:r>
      <w:r w:rsidRPr="00704102">
        <w:rPr>
          <w:rFonts w:ascii="IRBadr" w:hAnsi="IRBadr" w:cs="IRBadr"/>
          <w:color w:val="000080"/>
          <w:sz w:val="34"/>
          <w:rtl/>
        </w:rPr>
        <w:t xml:space="preserve"> </w:t>
      </w:r>
      <w:r w:rsidRPr="00704102">
        <w:rPr>
          <w:rFonts w:ascii="IRBadr" w:hAnsi="IRBadr" w:cs="IRBadr" w:hint="cs"/>
          <w:color w:val="000080"/>
          <w:sz w:val="34"/>
          <w:rtl/>
        </w:rPr>
        <w:t>رب</w:t>
      </w:r>
      <w:r w:rsidRPr="00704102">
        <w:rPr>
          <w:rFonts w:ascii="IRBadr" w:hAnsi="IRBadr" w:cs="IRBadr"/>
          <w:color w:val="000080"/>
          <w:sz w:val="34"/>
          <w:rtl/>
        </w:rPr>
        <w:t xml:space="preserve"> </w:t>
      </w:r>
      <w:r w:rsidRPr="00704102">
        <w:rPr>
          <w:rFonts w:ascii="IRBadr" w:hAnsi="IRBadr" w:cs="IRBadr" w:hint="cs"/>
          <w:color w:val="000080"/>
          <w:sz w:val="34"/>
          <w:rtl/>
        </w:rPr>
        <w:t>المال‌،</w:t>
      </w:r>
      <w:r w:rsidRPr="00704102">
        <w:rPr>
          <w:rFonts w:ascii="IRBadr" w:hAnsi="IRBadr" w:cs="IRBadr"/>
          <w:color w:val="000080"/>
          <w:sz w:val="34"/>
          <w:rtl/>
        </w:rPr>
        <w:t xml:space="preserve"> </w:t>
      </w:r>
      <w:r w:rsidRPr="00704102">
        <w:rPr>
          <w:rFonts w:ascii="IRBadr" w:hAnsi="IRBadr" w:cs="IRBadr" w:hint="cs"/>
          <w:color w:val="000080"/>
          <w:sz w:val="34"/>
          <w:rtl/>
        </w:rPr>
        <w:t>و</w:t>
      </w:r>
      <w:r w:rsidRPr="00704102">
        <w:rPr>
          <w:rFonts w:ascii="IRBadr" w:hAnsi="IRBadr" w:cs="IRBadr"/>
          <w:color w:val="000080"/>
          <w:sz w:val="34"/>
          <w:rtl/>
        </w:rPr>
        <w:t xml:space="preserve"> </w:t>
      </w:r>
      <w:r w:rsidRPr="00704102">
        <w:rPr>
          <w:rFonts w:ascii="IRBadr" w:hAnsi="IRBadr" w:cs="IRBadr" w:hint="cs"/>
          <w:color w:val="000080"/>
          <w:sz w:val="34"/>
          <w:rtl/>
        </w:rPr>
        <w:t>به</w:t>
      </w:r>
      <w:r w:rsidRPr="00704102">
        <w:rPr>
          <w:rFonts w:ascii="IRBadr" w:hAnsi="IRBadr" w:cs="IRBadr"/>
          <w:color w:val="000080"/>
          <w:sz w:val="34"/>
          <w:rtl/>
        </w:rPr>
        <w:t xml:space="preserve"> </w:t>
      </w:r>
      <w:r w:rsidRPr="00704102">
        <w:rPr>
          <w:rFonts w:ascii="IRBadr" w:hAnsi="IRBadr" w:cs="IRBadr" w:hint="cs"/>
          <w:color w:val="000080"/>
          <w:sz w:val="34"/>
          <w:rtl/>
        </w:rPr>
        <w:t>قال</w:t>
      </w:r>
      <w:r w:rsidRPr="00704102">
        <w:rPr>
          <w:rFonts w:ascii="IRBadr" w:hAnsi="IRBadr" w:cs="IRBadr"/>
          <w:color w:val="000080"/>
          <w:sz w:val="34"/>
          <w:rtl/>
        </w:rPr>
        <w:t xml:space="preserve"> </w:t>
      </w:r>
      <w:r w:rsidRPr="00704102">
        <w:rPr>
          <w:rFonts w:ascii="IRBadr" w:hAnsi="IRBadr" w:cs="IRBadr" w:hint="cs"/>
          <w:color w:val="000080"/>
          <w:sz w:val="34"/>
          <w:rtl/>
        </w:rPr>
        <w:t>جميع</w:t>
      </w:r>
      <w:r w:rsidRPr="00704102">
        <w:rPr>
          <w:rFonts w:ascii="IRBadr" w:hAnsi="IRBadr" w:cs="IRBadr"/>
          <w:color w:val="000080"/>
          <w:sz w:val="34"/>
          <w:rtl/>
        </w:rPr>
        <w:t xml:space="preserve"> </w:t>
      </w:r>
      <w:r w:rsidRPr="00704102">
        <w:rPr>
          <w:rFonts w:ascii="IRBadr" w:hAnsi="IRBadr" w:cs="IRBadr" w:hint="cs"/>
          <w:color w:val="000080"/>
          <w:sz w:val="34"/>
          <w:rtl/>
        </w:rPr>
        <w:t>الفقهاء،</w:t>
      </w:r>
      <w:r w:rsidRPr="00704102">
        <w:rPr>
          <w:rFonts w:ascii="IRBadr" w:hAnsi="IRBadr" w:cs="IRBadr"/>
          <w:color w:val="000080"/>
          <w:sz w:val="34"/>
          <w:rtl/>
        </w:rPr>
        <w:t xml:space="preserve"> </w:t>
      </w:r>
      <w:r w:rsidRPr="00704102">
        <w:rPr>
          <w:rFonts w:ascii="IRBadr" w:hAnsi="IRBadr" w:cs="IRBadr" w:hint="cs"/>
          <w:color w:val="000080"/>
          <w:sz w:val="34"/>
          <w:rtl/>
        </w:rPr>
        <w:t>إلا</w:t>
      </w:r>
      <w:r w:rsidRPr="00704102">
        <w:rPr>
          <w:rFonts w:ascii="IRBadr" w:hAnsi="IRBadr" w:cs="IRBadr"/>
          <w:color w:val="000080"/>
          <w:sz w:val="34"/>
          <w:rtl/>
        </w:rPr>
        <w:t xml:space="preserve"> </w:t>
      </w:r>
      <w:r w:rsidRPr="00704102">
        <w:rPr>
          <w:rFonts w:ascii="IRBadr" w:hAnsi="IRBadr" w:cs="IRBadr" w:hint="cs"/>
          <w:color w:val="000080"/>
          <w:sz w:val="34"/>
          <w:rtl/>
        </w:rPr>
        <w:t>عطاء،</w:t>
      </w:r>
      <w:r w:rsidRPr="00704102">
        <w:rPr>
          <w:rFonts w:ascii="IRBadr" w:hAnsi="IRBadr" w:cs="IRBadr"/>
          <w:color w:val="000080"/>
          <w:sz w:val="34"/>
          <w:rtl/>
        </w:rPr>
        <w:t xml:space="preserve"> </w:t>
      </w:r>
      <w:r w:rsidRPr="00704102">
        <w:rPr>
          <w:rFonts w:ascii="IRBadr" w:hAnsi="IRBadr" w:cs="IRBadr" w:hint="cs"/>
          <w:color w:val="000080"/>
          <w:sz w:val="34"/>
          <w:rtl/>
        </w:rPr>
        <w:t>فإنه</w:t>
      </w:r>
      <w:r w:rsidRPr="00704102">
        <w:rPr>
          <w:rFonts w:ascii="IRBadr" w:hAnsi="IRBadr" w:cs="IRBadr"/>
          <w:color w:val="000080"/>
          <w:sz w:val="34"/>
          <w:rtl/>
        </w:rPr>
        <w:t xml:space="preserve"> </w:t>
      </w:r>
      <w:r w:rsidRPr="00704102">
        <w:rPr>
          <w:rFonts w:ascii="IRBadr" w:hAnsi="IRBadr" w:cs="IRBadr" w:hint="cs"/>
          <w:color w:val="000080"/>
          <w:sz w:val="34"/>
          <w:rtl/>
        </w:rPr>
        <w:t>قال</w:t>
      </w:r>
      <w:r w:rsidRPr="00704102">
        <w:rPr>
          <w:rFonts w:ascii="IRBadr" w:hAnsi="IRBadr" w:cs="IRBadr"/>
          <w:color w:val="000080"/>
          <w:sz w:val="34"/>
          <w:rtl/>
        </w:rPr>
        <w:t xml:space="preserve">: </w:t>
      </w:r>
      <w:r w:rsidRPr="00704102">
        <w:rPr>
          <w:rFonts w:ascii="IRBadr" w:hAnsi="IRBadr" w:cs="IRBadr" w:hint="cs"/>
          <w:color w:val="000080"/>
          <w:sz w:val="34"/>
          <w:rtl/>
        </w:rPr>
        <w:t>المؤنة</w:t>
      </w:r>
      <w:r w:rsidRPr="00704102">
        <w:rPr>
          <w:rFonts w:ascii="IRBadr" w:hAnsi="IRBadr" w:cs="IRBadr"/>
          <w:color w:val="000080"/>
          <w:sz w:val="34"/>
          <w:rtl/>
        </w:rPr>
        <w:t xml:space="preserve"> </w:t>
      </w:r>
      <w:r w:rsidRPr="00704102">
        <w:rPr>
          <w:rFonts w:ascii="IRBadr" w:hAnsi="IRBadr" w:cs="IRBadr" w:hint="cs"/>
          <w:color w:val="000080"/>
          <w:sz w:val="34"/>
          <w:rtl/>
        </w:rPr>
        <w:t>على</w:t>
      </w:r>
      <w:r w:rsidRPr="00704102">
        <w:rPr>
          <w:rFonts w:ascii="IRBadr" w:hAnsi="IRBadr" w:cs="IRBadr"/>
          <w:color w:val="000080"/>
          <w:sz w:val="34"/>
          <w:rtl/>
        </w:rPr>
        <w:t xml:space="preserve"> </w:t>
      </w:r>
      <w:r w:rsidRPr="00704102">
        <w:rPr>
          <w:rFonts w:ascii="IRBadr" w:hAnsi="IRBadr" w:cs="IRBadr" w:hint="cs"/>
          <w:color w:val="000080"/>
          <w:sz w:val="34"/>
          <w:rtl/>
        </w:rPr>
        <w:t>رب</w:t>
      </w:r>
      <w:r w:rsidRPr="00704102">
        <w:rPr>
          <w:rFonts w:ascii="IRBadr" w:hAnsi="IRBadr" w:cs="IRBadr"/>
          <w:color w:val="000080"/>
          <w:sz w:val="34"/>
          <w:rtl/>
        </w:rPr>
        <w:t xml:space="preserve"> </w:t>
      </w:r>
      <w:r w:rsidRPr="00704102">
        <w:rPr>
          <w:rFonts w:ascii="IRBadr" w:hAnsi="IRBadr" w:cs="IRBadr" w:hint="cs"/>
          <w:color w:val="000080"/>
          <w:sz w:val="34"/>
          <w:rtl/>
        </w:rPr>
        <w:t>المال</w:t>
      </w:r>
      <w:r w:rsidRPr="00704102">
        <w:rPr>
          <w:rFonts w:ascii="IRBadr" w:hAnsi="IRBadr" w:cs="IRBadr"/>
          <w:color w:val="000080"/>
          <w:sz w:val="34"/>
          <w:rtl/>
        </w:rPr>
        <w:t xml:space="preserve"> </w:t>
      </w:r>
      <w:r w:rsidRPr="00704102">
        <w:rPr>
          <w:rFonts w:ascii="IRBadr" w:hAnsi="IRBadr" w:cs="IRBadr" w:hint="cs"/>
          <w:color w:val="000080"/>
          <w:sz w:val="34"/>
          <w:rtl/>
        </w:rPr>
        <w:t>و</w:t>
      </w:r>
      <w:r w:rsidRPr="00704102">
        <w:rPr>
          <w:rFonts w:ascii="IRBadr" w:hAnsi="IRBadr" w:cs="IRBadr"/>
          <w:color w:val="000080"/>
          <w:sz w:val="34"/>
          <w:rtl/>
        </w:rPr>
        <w:t xml:space="preserve"> </w:t>
      </w:r>
      <w:r w:rsidRPr="00704102">
        <w:rPr>
          <w:rFonts w:ascii="IRBadr" w:hAnsi="IRBadr" w:cs="IRBadr" w:hint="cs"/>
          <w:color w:val="000080"/>
          <w:sz w:val="34"/>
          <w:rtl/>
        </w:rPr>
        <w:t>المساكين</w:t>
      </w:r>
      <w:r w:rsidRPr="00704102">
        <w:rPr>
          <w:rFonts w:ascii="IRBadr" w:hAnsi="IRBadr" w:cs="IRBadr"/>
          <w:color w:val="000080"/>
          <w:sz w:val="34"/>
          <w:rtl/>
        </w:rPr>
        <w:t xml:space="preserve"> </w:t>
      </w:r>
      <w:r w:rsidRPr="00704102">
        <w:rPr>
          <w:rFonts w:ascii="IRBadr" w:hAnsi="IRBadr" w:cs="IRBadr" w:hint="cs"/>
          <w:color w:val="000080"/>
          <w:sz w:val="34"/>
          <w:rtl/>
        </w:rPr>
        <w:t>بالحصة</w:t>
      </w:r>
      <w:r w:rsidRPr="00704102">
        <w:rPr>
          <w:rFonts w:ascii="IRBadr" w:hAnsi="IRBadr" w:cs="IRBadr"/>
          <w:color w:val="000080"/>
          <w:sz w:val="34"/>
          <w:rtl/>
        </w:rPr>
        <w:t xml:space="preserve"> </w:t>
      </w:r>
      <w:r w:rsidRPr="00704102">
        <w:rPr>
          <w:rFonts w:ascii="IRBadr" w:hAnsi="IRBadr" w:cs="IRBadr" w:hint="cs"/>
          <w:color w:val="000080"/>
          <w:sz w:val="34"/>
          <w:rtl/>
        </w:rPr>
        <w:t>»</w:t>
      </w:r>
      <w:r>
        <w:rPr>
          <w:rStyle w:val="FootnoteReference"/>
          <w:rFonts w:ascii="IRBadr" w:hAnsi="IRBadr" w:cs="IRBadr"/>
          <w:color w:val="000080"/>
          <w:sz w:val="34"/>
          <w:rtl/>
        </w:rPr>
        <w:footnoteReference w:id="8"/>
      </w:r>
      <w:r w:rsidRPr="00704102">
        <w:rPr>
          <w:rFonts w:ascii="IRBadr" w:hAnsi="IRBadr" w:cs="IRBadr"/>
          <w:sz w:val="34"/>
          <w:rtl/>
        </w:rPr>
        <w:t>.</w:t>
      </w:r>
    </w:p>
    <w:p w:rsidR="00704102" w:rsidRDefault="00704102" w:rsidP="0030009B">
      <w:pPr>
        <w:rPr>
          <w:rFonts w:ascii="IRBadr" w:hAnsi="IRBadr" w:cs="IRBadr"/>
          <w:sz w:val="34"/>
        </w:rPr>
      </w:pPr>
      <w:r>
        <w:rPr>
          <w:rFonts w:ascii="IRBadr" w:hAnsi="IRBadr" w:cs="IRBadr" w:hint="cs"/>
          <w:sz w:val="34"/>
          <w:rtl/>
        </w:rPr>
        <w:t>در این عبارت بیان شده که</w:t>
      </w:r>
      <w:r w:rsidR="00E35A64">
        <w:rPr>
          <w:rFonts w:ascii="IRBadr" w:hAnsi="IRBadr" w:cs="IRBadr" w:hint="cs"/>
          <w:sz w:val="34"/>
          <w:rtl/>
        </w:rPr>
        <w:t xml:space="preserve"> مئونه‌های متاخر</w:t>
      </w:r>
      <w:r>
        <w:rPr>
          <w:rFonts w:ascii="IRBadr" w:hAnsi="IRBadr" w:cs="IRBadr" w:hint="cs"/>
          <w:sz w:val="34"/>
          <w:rtl/>
        </w:rPr>
        <w:t xml:space="preserve"> بر عهده رب المال است.</w:t>
      </w:r>
      <w:r w:rsidR="007D571A">
        <w:rPr>
          <w:rFonts w:ascii="IRBadr" w:hAnsi="IRBadr" w:cs="IRBadr" w:hint="cs"/>
          <w:sz w:val="34"/>
          <w:rtl/>
        </w:rPr>
        <w:t xml:space="preserve"> شاید تعبیر «تلحق الغلات» </w:t>
      </w:r>
      <w:r w:rsidR="00E35A64">
        <w:rPr>
          <w:rFonts w:ascii="IRBadr" w:hAnsi="IRBadr" w:cs="IRBadr" w:hint="cs"/>
          <w:sz w:val="34"/>
          <w:rtl/>
        </w:rPr>
        <w:t>ظاهر در غلاتی باشد که محقّق شده و حاصل شده است. بنابراین، تعبیر مئونه‌هایی که به غلات ملحق می‌شود، ناظر به مئونه‌های لاحق است. استثنایی که از عطا نقل شده نیز مویّد همین مطلب است.</w:t>
      </w:r>
      <w:r w:rsidR="002D3D7A">
        <w:rPr>
          <w:rFonts w:ascii="IRBadr" w:hAnsi="IRBadr" w:cs="IRBadr" w:hint="cs"/>
          <w:sz w:val="34"/>
          <w:rtl/>
        </w:rPr>
        <w:t xml:space="preserve"> با این توضیح روشن می‌شود که عبارات شیخ در کتب مختلف تنافی ندارد. عبارت خلاف ناظر به مئونه‌های لاحق و عبارت نهایه و امثال آن ناظر به مئونه‌های سابق است. بنابراین، تفصیل بین مئونه‌ سابقه و لاحقه از عبارات شیخ قابل استفاده است. </w:t>
      </w:r>
      <w:r w:rsidR="006D3F97">
        <w:rPr>
          <w:rFonts w:ascii="IRBadr" w:hAnsi="IRBadr" w:cs="IRBadr" w:hint="cs"/>
          <w:sz w:val="34"/>
          <w:rtl/>
        </w:rPr>
        <w:t>یعنی جمع بین عبارا</w:t>
      </w:r>
      <w:r w:rsidR="00EA0977">
        <w:rPr>
          <w:rFonts w:ascii="IRBadr" w:hAnsi="IRBadr" w:cs="IRBadr" w:hint="cs"/>
          <w:sz w:val="34"/>
          <w:rtl/>
        </w:rPr>
        <w:t>ت مختلف شیخ طوسی چنین امری است که مئونه‌های سابقه استثنا می‌شود، ولی مئونه‌های لاحقه استثنا نمی‌گردد.</w:t>
      </w:r>
      <w:r w:rsidR="00A76243">
        <w:rPr>
          <w:rFonts w:ascii="IRBadr" w:hAnsi="IRBadr" w:cs="IRBadr" w:hint="cs"/>
          <w:sz w:val="34"/>
          <w:rtl/>
        </w:rPr>
        <w:t xml:space="preserve"> قدرمتیقّن از عبارت شیخ در کتب مختلفش به‌جز خلاف</w:t>
      </w:r>
      <w:r w:rsidR="0030009B">
        <w:rPr>
          <w:rFonts w:ascii="IRBadr" w:hAnsi="IRBadr" w:cs="IRBadr" w:hint="cs"/>
          <w:sz w:val="34"/>
          <w:rtl/>
        </w:rPr>
        <w:t xml:space="preserve"> که مربوط به عدم وجوب زکات در مئونه و استثناء آن است</w:t>
      </w:r>
      <w:r w:rsidR="00A76243">
        <w:rPr>
          <w:rFonts w:ascii="IRBadr" w:hAnsi="IRBadr" w:cs="IRBadr" w:hint="cs"/>
          <w:sz w:val="34"/>
          <w:rtl/>
        </w:rPr>
        <w:t>، مئونه‌های سابق تا لحظه تعلق زکات است، و قدر</w:t>
      </w:r>
      <w:r w:rsidR="0030009B">
        <w:rPr>
          <w:rFonts w:ascii="IRBadr" w:hAnsi="IRBadr" w:cs="IRBadr" w:hint="cs"/>
          <w:sz w:val="34"/>
          <w:rtl/>
        </w:rPr>
        <w:t xml:space="preserve"> متیقن عبارت وی در کتاب خلاف که دال بر وجوب زکات در مئونه و عدم استثنا آن است،</w:t>
      </w:r>
      <w:r w:rsidR="00A76243">
        <w:rPr>
          <w:rFonts w:ascii="IRBadr" w:hAnsi="IRBadr" w:cs="IRBadr" w:hint="cs"/>
          <w:sz w:val="34"/>
          <w:rtl/>
        </w:rPr>
        <w:t xml:space="preserve"> مئونه زمان تعلق تا زمان اخراج.</w:t>
      </w:r>
    </w:p>
    <w:p w:rsidR="00011329" w:rsidRDefault="00011329" w:rsidP="00011329">
      <w:pPr>
        <w:rPr>
          <w:rFonts w:ascii="IRBadr" w:hAnsi="IRBadr" w:cs="IRBadr"/>
          <w:sz w:val="34"/>
          <w:rtl/>
        </w:rPr>
      </w:pPr>
      <w:r w:rsidRPr="000066FB">
        <w:rPr>
          <w:rFonts w:ascii="IRBadr" w:hAnsi="IRBadr" w:cs="IRBadr" w:hint="cs"/>
          <w:b/>
          <w:bCs/>
          <w:sz w:val="34"/>
          <w:rtl/>
        </w:rPr>
        <w:t>سوال شاگرد</w:t>
      </w:r>
      <w:r>
        <w:rPr>
          <w:rFonts w:ascii="IRBadr" w:hAnsi="IRBadr" w:cs="IRBadr" w:hint="cs"/>
          <w:sz w:val="34"/>
          <w:rtl/>
        </w:rPr>
        <w:t>: ممکن است تعبیر «تلحق الغلاة» به معنی «ترتبط بالغلّاة» باشد.</w:t>
      </w:r>
    </w:p>
    <w:p w:rsidR="00011329" w:rsidRDefault="00011329" w:rsidP="00011329">
      <w:pPr>
        <w:rPr>
          <w:rFonts w:ascii="IRBadr" w:hAnsi="IRBadr" w:cs="IRBadr"/>
          <w:sz w:val="34"/>
          <w:rtl/>
        </w:rPr>
      </w:pPr>
      <w:r w:rsidRPr="000066FB">
        <w:rPr>
          <w:rFonts w:ascii="IRBadr" w:hAnsi="IRBadr" w:cs="IRBadr" w:hint="cs"/>
          <w:b/>
          <w:bCs/>
          <w:sz w:val="34"/>
          <w:rtl/>
        </w:rPr>
        <w:t xml:space="preserve">پاسخ استاد: </w:t>
      </w:r>
      <w:r>
        <w:rPr>
          <w:rFonts w:ascii="IRBadr" w:hAnsi="IRBadr" w:cs="IRBadr" w:hint="cs"/>
          <w:sz w:val="34"/>
          <w:rtl/>
        </w:rPr>
        <w:t>به این احتمال وجود دارد که عبارت بدین معنی باشد، ولی اقتضای جمع بین عبارات مختلف شیخ در کتب مختلفش معنایی است که ذکر شد که «تلحق» به معنی مئونه لاحقه باشد.</w:t>
      </w:r>
    </w:p>
    <w:p w:rsidR="00BC445F" w:rsidRDefault="00BC445F" w:rsidP="00BC445F">
      <w:pPr>
        <w:rPr>
          <w:rFonts w:ascii="IRBadr" w:hAnsi="IRBadr" w:cs="IRBadr"/>
          <w:sz w:val="34"/>
          <w:rtl/>
        </w:rPr>
      </w:pPr>
      <w:r>
        <w:rPr>
          <w:rFonts w:ascii="IRBadr" w:hAnsi="IRBadr" w:cs="IRBadr" w:hint="cs"/>
          <w:sz w:val="34"/>
          <w:rtl/>
        </w:rPr>
        <w:t>احتمال دیگر در جمع بین کلمات شیخ طوسی به آن است که در محاسبه نصاب، مئونه ملاحظه نمی‌شود، ولی در اخراج زکات، مئونه‌ها استثنا می‌شود. به نظر می‌رسد جمعی که در ابتدا بیان شد روشن‌تر باشد.</w:t>
      </w:r>
    </w:p>
    <w:p w:rsidR="000D7224" w:rsidRDefault="000D7224" w:rsidP="000D7224">
      <w:pPr>
        <w:pStyle w:val="Heading4"/>
        <w:rPr>
          <w:rtl/>
        </w:rPr>
      </w:pPr>
      <w:bookmarkStart w:id="15" w:name="_Toc196078328"/>
      <w:r>
        <w:rPr>
          <w:rFonts w:hint="cs"/>
          <w:rtl/>
        </w:rPr>
        <w:t>عبارت مبسوط</w:t>
      </w:r>
      <w:bookmarkEnd w:id="15"/>
    </w:p>
    <w:p w:rsidR="00BC445F" w:rsidRDefault="00BC445F" w:rsidP="00BC445F">
      <w:pPr>
        <w:rPr>
          <w:rFonts w:ascii="IRBadr" w:hAnsi="IRBadr" w:cs="IRBadr"/>
          <w:sz w:val="34"/>
          <w:rtl/>
        </w:rPr>
      </w:pPr>
      <w:r>
        <w:rPr>
          <w:rFonts w:ascii="IRBadr" w:hAnsi="IRBadr" w:cs="IRBadr" w:hint="cs"/>
          <w:sz w:val="34"/>
          <w:rtl/>
        </w:rPr>
        <w:t>عبارت شیخ در مبسوط به شرح زیر است:</w:t>
      </w:r>
    </w:p>
    <w:p w:rsidR="00BC445F" w:rsidRDefault="00BC445F" w:rsidP="00BC445F">
      <w:pPr>
        <w:rPr>
          <w:rFonts w:ascii="IRBadr" w:hAnsi="IRBadr" w:cs="IRBadr"/>
          <w:sz w:val="34"/>
          <w:rtl/>
        </w:rPr>
      </w:pPr>
      <w:r w:rsidRPr="00BC445F">
        <w:rPr>
          <w:rFonts w:ascii="IRBadr" w:hAnsi="IRBadr" w:cs="IRBadr" w:hint="cs"/>
          <w:color w:val="000080"/>
          <w:sz w:val="34"/>
          <w:rtl/>
        </w:rPr>
        <w:t>«فالنصاب</w:t>
      </w:r>
      <w:r w:rsidRPr="00BC445F">
        <w:rPr>
          <w:rFonts w:ascii="IRBadr" w:hAnsi="IRBadr" w:cs="IRBadr"/>
          <w:color w:val="000080"/>
          <w:sz w:val="34"/>
          <w:rtl/>
        </w:rPr>
        <w:t xml:space="preserve"> </w:t>
      </w:r>
      <w:r w:rsidRPr="00BC445F">
        <w:rPr>
          <w:rFonts w:ascii="IRBadr" w:hAnsi="IRBadr" w:cs="IRBadr" w:hint="cs"/>
          <w:color w:val="000080"/>
          <w:sz w:val="34"/>
          <w:rtl/>
        </w:rPr>
        <w:t>ما</w:t>
      </w:r>
      <w:r w:rsidRPr="00BC445F">
        <w:rPr>
          <w:rFonts w:ascii="IRBadr" w:hAnsi="IRBadr" w:cs="IRBadr"/>
          <w:color w:val="000080"/>
          <w:sz w:val="34"/>
          <w:rtl/>
        </w:rPr>
        <w:t xml:space="preserve"> </w:t>
      </w:r>
      <w:r w:rsidRPr="00BC445F">
        <w:rPr>
          <w:rFonts w:ascii="IRBadr" w:hAnsi="IRBadr" w:cs="IRBadr" w:hint="cs"/>
          <w:color w:val="000080"/>
          <w:sz w:val="34"/>
          <w:rtl/>
        </w:rPr>
        <w:t>بلغ</w:t>
      </w:r>
      <w:r w:rsidRPr="00BC445F">
        <w:rPr>
          <w:rFonts w:ascii="IRBadr" w:hAnsi="IRBadr" w:cs="IRBadr"/>
          <w:color w:val="000080"/>
          <w:sz w:val="34"/>
          <w:rtl/>
        </w:rPr>
        <w:t xml:space="preserve"> </w:t>
      </w:r>
      <w:r w:rsidRPr="00BC445F">
        <w:rPr>
          <w:rFonts w:ascii="IRBadr" w:hAnsi="IRBadr" w:cs="IRBadr" w:hint="cs"/>
          <w:color w:val="000080"/>
          <w:sz w:val="34"/>
          <w:rtl/>
        </w:rPr>
        <w:t>خمسة</w:t>
      </w:r>
      <w:r w:rsidRPr="00BC445F">
        <w:rPr>
          <w:rFonts w:ascii="IRBadr" w:hAnsi="IRBadr" w:cs="IRBadr"/>
          <w:color w:val="000080"/>
          <w:sz w:val="34"/>
          <w:rtl/>
        </w:rPr>
        <w:t xml:space="preserve"> </w:t>
      </w:r>
      <w:r w:rsidRPr="00BC445F">
        <w:rPr>
          <w:rFonts w:ascii="IRBadr" w:hAnsi="IRBadr" w:cs="IRBadr" w:hint="cs"/>
          <w:color w:val="000080"/>
          <w:sz w:val="34"/>
          <w:rtl/>
        </w:rPr>
        <w:t>أوساق</w:t>
      </w:r>
      <w:r w:rsidRPr="00BC445F">
        <w:rPr>
          <w:rFonts w:ascii="IRBadr" w:hAnsi="IRBadr" w:cs="IRBadr"/>
          <w:color w:val="000080"/>
          <w:sz w:val="34"/>
          <w:rtl/>
        </w:rPr>
        <w:t xml:space="preserve"> </w:t>
      </w:r>
      <w:r w:rsidRPr="00BC445F">
        <w:rPr>
          <w:rFonts w:ascii="IRBadr" w:hAnsi="IRBadr" w:cs="IRBadr" w:hint="cs"/>
          <w:color w:val="000080"/>
          <w:sz w:val="34"/>
          <w:rtl/>
        </w:rPr>
        <w:t>بعد</w:t>
      </w:r>
      <w:r w:rsidRPr="00BC445F">
        <w:rPr>
          <w:rFonts w:ascii="IRBadr" w:hAnsi="IRBadr" w:cs="IRBadr"/>
          <w:color w:val="000080"/>
          <w:sz w:val="34"/>
          <w:rtl/>
        </w:rPr>
        <w:t xml:space="preserve"> </w:t>
      </w:r>
      <w:r w:rsidRPr="00BC445F">
        <w:rPr>
          <w:rFonts w:ascii="IRBadr" w:hAnsi="IRBadr" w:cs="IRBadr" w:hint="cs"/>
          <w:color w:val="000080"/>
          <w:sz w:val="34"/>
          <w:rtl/>
        </w:rPr>
        <w:t>إخراج</w:t>
      </w:r>
      <w:r w:rsidRPr="00BC445F">
        <w:rPr>
          <w:rFonts w:ascii="IRBadr" w:hAnsi="IRBadr" w:cs="IRBadr"/>
          <w:color w:val="000080"/>
          <w:sz w:val="34"/>
          <w:rtl/>
        </w:rPr>
        <w:t xml:space="preserve"> </w:t>
      </w:r>
      <w:r w:rsidRPr="00BC445F">
        <w:rPr>
          <w:rFonts w:ascii="IRBadr" w:hAnsi="IRBadr" w:cs="IRBadr" w:hint="cs"/>
          <w:color w:val="000080"/>
          <w:sz w:val="34"/>
          <w:rtl/>
        </w:rPr>
        <w:t>حق</w:t>
      </w:r>
      <w:r w:rsidRPr="00BC445F">
        <w:rPr>
          <w:rFonts w:ascii="IRBadr" w:hAnsi="IRBadr" w:cs="IRBadr"/>
          <w:color w:val="000080"/>
          <w:sz w:val="34"/>
          <w:rtl/>
        </w:rPr>
        <w:t xml:space="preserve"> </w:t>
      </w:r>
      <w:r w:rsidRPr="00BC445F">
        <w:rPr>
          <w:rFonts w:ascii="IRBadr" w:hAnsi="IRBadr" w:cs="IRBadr" w:hint="cs"/>
          <w:color w:val="000080"/>
          <w:sz w:val="34"/>
          <w:rtl/>
        </w:rPr>
        <w:t>السلطان</w:t>
      </w:r>
      <w:r w:rsidRPr="00BC445F">
        <w:rPr>
          <w:rFonts w:ascii="IRBadr" w:hAnsi="IRBadr" w:cs="IRBadr"/>
          <w:color w:val="000080"/>
          <w:sz w:val="34"/>
          <w:rtl/>
        </w:rPr>
        <w:t xml:space="preserve"> </w:t>
      </w:r>
      <w:r w:rsidRPr="00BC445F">
        <w:rPr>
          <w:rFonts w:ascii="IRBadr" w:hAnsi="IRBadr" w:cs="IRBadr" w:hint="cs"/>
          <w:color w:val="000080"/>
          <w:sz w:val="34"/>
          <w:rtl/>
        </w:rPr>
        <w:t>و</w:t>
      </w:r>
      <w:r w:rsidRPr="00BC445F">
        <w:rPr>
          <w:rFonts w:ascii="IRBadr" w:hAnsi="IRBadr" w:cs="IRBadr"/>
          <w:color w:val="000080"/>
          <w:sz w:val="34"/>
          <w:rtl/>
        </w:rPr>
        <w:t xml:space="preserve"> </w:t>
      </w:r>
      <w:r w:rsidRPr="00BC445F">
        <w:rPr>
          <w:rFonts w:ascii="IRBadr" w:hAnsi="IRBadr" w:cs="IRBadr" w:hint="cs"/>
          <w:color w:val="000080"/>
          <w:sz w:val="34"/>
          <w:rtl/>
        </w:rPr>
        <w:t>المؤن</w:t>
      </w:r>
      <w:r w:rsidRPr="00BC445F">
        <w:rPr>
          <w:rFonts w:ascii="IRBadr" w:hAnsi="IRBadr" w:cs="IRBadr"/>
          <w:color w:val="000080"/>
          <w:sz w:val="34"/>
          <w:rtl/>
        </w:rPr>
        <w:t xml:space="preserve"> </w:t>
      </w:r>
      <w:r w:rsidRPr="00BC445F">
        <w:rPr>
          <w:rFonts w:ascii="IRBadr" w:hAnsi="IRBadr" w:cs="IRBadr" w:hint="cs"/>
          <w:color w:val="000080"/>
          <w:sz w:val="34"/>
          <w:rtl/>
        </w:rPr>
        <w:t>كلها»</w:t>
      </w:r>
      <w:r>
        <w:rPr>
          <w:rStyle w:val="FootnoteReference"/>
          <w:rFonts w:ascii="IRBadr" w:hAnsi="IRBadr" w:cs="IRBadr"/>
          <w:color w:val="000080"/>
          <w:sz w:val="34"/>
          <w:rtl/>
        </w:rPr>
        <w:footnoteReference w:id="9"/>
      </w:r>
      <w:r w:rsidRPr="00BC445F">
        <w:rPr>
          <w:rFonts w:ascii="IRBadr" w:hAnsi="IRBadr" w:cs="IRBadr"/>
          <w:sz w:val="34"/>
          <w:rtl/>
        </w:rPr>
        <w:t>.</w:t>
      </w:r>
    </w:p>
    <w:p w:rsidR="002E09E2" w:rsidRDefault="00BC445F" w:rsidP="00AC73B9">
      <w:pPr>
        <w:rPr>
          <w:rFonts w:ascii="IRBadr" w:hAnsi="IRBadr" w:cs="IRBadr"/>
          <w:sz w:val="34"/>
          <w:rtl/>
        </w:rPr>
      </w:pPr>
      <w:r>
        <w:rPr>
          <w:rFonts w:ascii="IRBadr" w:hAnsi="IRBadr" w:cs="IRBadr" w:hint="cs"/>
          <w:sz w:val="34"/>
          <w:rtl/>
        </w:rPr>
        <w:lastRenderedPageBreak/>
        <w:t>این عبارت در کتاب ینابیع نیز وارد شده است</w:t>
      </w:r>
      <w:r>
        <w:rPr>
          <w:rStyle w:val="FootnoteReference"/>
          <w:rFonts w:ascii="IRBadr" w:hAnsi="IRBadr" w:cs="IRBadr"/>
          <w:sz w:val="34"/>
          <w:rtl/>
        </w:rPr>
        <w:footnoteReference w:id="10"/>
      </w:r>
      <w:r>
        <w:rPr>
          <w:rFonts w:ascii="IRBadr" w:hAnsi="IRBadr" w:cs="IRBadr" w:hint="cs"/>
          <w:sz w:val="34"/>
          <w:rtl/>
        </w:rPr>
        <w:t>. وجه دوم جمع که برای کلمات شیخ طوسی بیان شد مستبعد به نظر می‌رسد. بعید است که شیخ در این عبارت بیان کرده باشد که حق سلطان تنها در نصاب استثناء می‌شود</w:t>
      </w:r>
      <w:r w:rsidR="008962AF">
        <w:rPr>
          <w:rFonts w:ascii="IRBadr" w:hAnsi="IRBadr" w:cs="IRBadr" w:hint="cs"/>
          <w:sz w:val="34"/>
          <w:rtl/>
        </w:rPr>
        <w:t>.</w:t>
      </w:r>
      <w:r w:rsidR="00AC73B9">
        <w:rPr>
          <w:rFonts w:ascii="IRBadr" w:hAnsi="IRBadr" w:cs="IRBadr" w:hint="cs"/>
          <w:sz w:val="34"/>
          <w:rtl/>
        </w:rPr>
        <w:t xml:space="preserve"> از روایات تقریبا به روشنی استفاده می‌شود که زکات در خراج و مقاسمه و امثال آن از حقوق سلطان ثابت نیست. این عبارات فقها هم ناظر به روایات است.</w:t>
      </w:r>
      <w:r w:rsidR="002E09E2">
        <w:rPr>
          <w:rFonts w:ascii="IRBadr" w:hAnsi="IRBadr" w:cs="IRBadr" w:hint="cs"/>
          <w:sz w:val="34"/>
          <w:rtl/>
        </w:rPr>
        <w:t xml:space="preserve"> تعبیر «کلّها» معلوم نیست ناظر به مئونه‌های سابقه و لاحقه باشد. شیخ در مبسوط در ادامه این عبارت در چند صفحه بعد آورده است: </w:t>
      </w:r>
    </w:p>
    <w:p w:rsidR="00BC445F" w:rsidRDefault="002E09E2" w:rsidP="002E09E2">
      <w:pPr>
        <w:rPr>
          <w:rFonts w:ascii="IRBadr" w:hAnsi="IRBadr" w:cs="IRBadr"/>
          <w:sz w:val="34"/>
          <w:rtl/>
        </w:rPr>
      </w:pPr>
      <w:r w:rsidRPr="002E09E2">
        <w:rPr>
          <w:rFonts w:ascii="IRBadr" w:hAnsi="IRBadr" w:cs="IRBadr" w:hint="cs"/>
          <w:color w:val="000080"/>
          <w:sz w:val="34"/>
          <w:rtl/>
        </w:rPr>
        <w:t>«و</w:t>
      </w:r>
      <w:r w:rsidRPr="002E09E2">
        <w:rPr>
          <w:rFonts w:ascii="IRBadr" w:hAnsi="IRBadr" w:cs="IRBadr"/>
          <w:color w:val="000080"/>
          <w:sz w:val="34"/>
          <w:rtl/>
        </w:rPr>
        <w:t xml:space="preserve"> </w:t>
      </w:r>
      <w:r w:rsidRPr="002E09E2">
        <w:rPr>
          <w:rFonts w:ascii="IRBadr" w:hAnsi="IRBadr" w:cs="IRBadr" w:hint="cs"/>
          <w:color w:val="000080"/>
          <w:sz w:val="34"/>
          <w:rtl/>
        </w:rPr>
        <w:t>كل</w:t>
      </w:r>
      <w:r w:rsidRPr="002E09E2">
        <w:rPr>
          <w:rFonts w:ascii="IRBadr" w:hAnsi="IRBadr" w:cs="IRBadr"/>
          <w:color w:val="000080"/>
          <w:sz w:val="34"/>
          <w:rtl/>
        </w:rPr>
        <w:t xml:space="preserve"> </w:t>
      </w:r>
      <w:r w:rsidRPr="002E09E2">
        <w:rPr>
          <w:rFonts w:ascii="IRBadr" w:hAnsi="IRBadr" w:cs="IRBadr" w:hint="cs"/>
          <w:color w:val="000080"/>
          <w:sz w:val="34"/>
          <w:rtl/>
        </w:rPr>
        <w:t>مئونة</w:t>
      </w:r>
      <w:r w:rsidRPr="002E09E2">
        <w:rPr>
          <w:rFonts w:ascii="IRBadr" w:hAnsi="IRBadr" w:cs="IRBadr"/>
          <w:color w:val="000080"/>
          <w:sz w:val="34"/>
          <w:rtl/>
        </w:rPr>
        <w:t xml:space="preserve"> </w:t>
      </w:r>
      <w:r w:rsidRPr="002E09E2">
        <w:rPr>
          <w:rFonts w:ascii="IRBadr" w:hAnsi="IRBadr" w:cs="IRBadr" w:hint="cs"/>
          <w:color w:val="000080"/>
          <w:sz w:val="34"/>
          <w:rtl/>
        </w:rPr>
        <w:t>تلحق</w:t>
      </w:r>
      <w:r w:rsidRPr="002E09E2">
        <w:rPr>
          <w:rFonts w:ascii="IRBadr" w:hAnsi="IRBadr" w:cs="IRBadr"/>
          <w:color w:val="000080"/>
          <w:sz w:val="34"/>
          <w:rtl/>
        </w:rPr>
        <w:t xml:space="preserve"> </w:t>
      </w:r>
      <w:r w:rsidRPr="002E09E2">
        <w:rPr>
          <w:rFonts w:ascii="IRBadr" w:hAnsi="IRBadr" w:cs="IRBadr" w:hint="cs"/>
          <w:color w:val="000080"/>
          <w:sz w:val="34"/>
          <w:rtl/>
        </w:rPr>
        <w:t>الغلات</w:t>
      </w:r>
      <w:r w:rsidRPr="002E09E2">
        <w:rPr>
          <w:rFonts w:ascii="IRBadr" w:hAnsi="IRBadr" w:cs="IRBadr"/>
          <w:color w:val="000080"/>
          <w:sz w:val="34"/>
          <w:rtl/>
        </w:rPr>
        <w:t xml:space="preserve"> </w:t>
      </w:r>
      <w:r w:rsidRPr="002E09E2">
        <w:rPr>
          <w:rFonts w:ascii="IRBadr" w:hAnsi="IRBadr" w:cs="IRBadr" w:hint="cs"/>
          <w:color w:val="000080"/>
          <w:sz w:val="34"/>
          <w:rtl/>
        </w:rPr>
        <w:t>إلى</w:t>
      </w:r>
      <w:r w:rsidRPr="002E09E2">
        <w:rPr>
          <w:rFonts w:ascii="IRBadr" w:hAnsi="IRBadr" w:cs="IRBadr"/>
          <w:color w:val="000080"/>
          <w:sz w:val="34"/>
          <w:rtl/>
        </w:rPr>
        <w:t xml:space="preserve"> </w:t>
      </w:r>
      <w:r w:rsidRPr="002E09E2">
        <w:rPr>
          <w:rFonts w:ascii="IRBadr" w:hAnsi="IRBadr" w:cs="IRBadr" w:hint="cs"/>
          <w:color w:val="000080"/>
          <w:sz w:val="34"/>
          <w:rtl/>
        </w:rPr>
        <w:t>وقت</w:t>
      </w:r>
      <w:r w:rsidRPr="002E09E2">
        <w:rPr>
          <w:rFonts w:ascii="IRBadr" w:hAnsi="IRBadr" w:cs="IRBadr"/>
          <w:color w:val="000080"/>
          <w:sz w:val="34"/>
          <w:rtl/>
        </w:rPr>
        <w:t xml:space="preserve"> </w:t>
      </w:r>
      <w:r w:rsidRPr="002E09E2">
        <w:rPr>
          <w:rFonts w:ascii="IRBadr" w:hAnsi="IRBadr" w:cs="IRBadr" w:hint="cs"/>
          <w:color w:val="000080"/>
          <w:sz w:val="34"/>
          <w:rtl/>
        </w:rPr>
        <w:t>إخراج</w:t>
      </w:r>
      <w:r w:rsidRPr="002E09E2">
        <w:rPr>
          <w:rFonts w:ascii="IRBadr" w:hAnsi="IRBadr" w:cs="IRBadr"/>
          <w:color w:val="000080"/>
          <w:sz w:val="34"/>
          <w:rtl/>
        </w:rPr>
        <w:t xml:space="preserve"> </w:t>
      </w:r>
      <w:r w:rsidRPr="002E09E2">
        <w:rPr>
          <w:rFonts w:ascii="IRBadr" w:hAnsi="IRBadr" w:cs="IRBadr" w:hint="cs"/>
          <w:color w:val="000080"/>
          <w:sz w:val="34"/>
          <w:rtl/>
        </w:rPr>
        <w:t>الزكاة</w:t>
      </w:r>
      <w:r w:rsidRPr="002E09E2">
        <w:rPr>
          <w:rFonts w:ascii="IRBadr" w:hAnsi="IRBadr" w:cs="IRBadr"/>
          <w:color w:val="000080"/>
          <w:sz w:val="34"/>
          <w:rtl/>
        </w:rPr>
        <w:t xml:space="preserve"> </w:t>
      </w:r>
      <w:r w:rsidRPr="002E09E2">
        <w:rPr>
          <w:rFonts w:ascii="IRBadr" w:hAnsi="IRBadr" w:cs="IRBadr" w:hint="cs"/>
          <w:color w:val="000080"/>
          <w:sz w:val="34"/>
          <w:rtl/>
        </w:rPr>
        <w:t>على</w:t>
      </w:r>
      <w:r w:rsidRPr="002E09E2">
        <w:rPr>
          <w:rFonts w:ascii="IRBadr" w:hAnsi="IRBadr" w:cs="IRBadr"/>
          <w:color w:val="000080"/>
          <w:sz w:val="34"/>
          <w:rtl/>
        </w:rPr>
        <w:t xml:space="preserve"> </w:t>
      </w:r>
      <w:r w:rsidRPr="002E09E2">
        <w:rPr>
          <w:rFonts w:ascii="IRBadr" w:hAnsi="IRBadr" w:cs="IRBadr" w:hint="cs"/>
          <w:color w:val="000080"/>
          <w:sz w:val="34"/>
          <w:rtl/>
        </w:rPr>
        <w:t>رب</w:t>
      </w:r>
      <w:r w:rsidRPr="002E09E2">
        <w:rPr>
          <w:rFonts w:ascii="IRBadr" w:hAnsi="IRBadr" w:cs="IRBadr"/>
          <w:color w:val="000080"/>
          <w:sz w:val="34"/>
          <w:rtl/>
        </w:rPr>
        <w:t xml:space="preserve"> </w:t>
      </w:r>
      <w:r w:rsidRPr="002E09E2">
        <w:rPr>
          <w:rFonts w:ascii="IRBadr" w:hAnsi="IRBadr" w:cs="IRBadr" w:hint="cs"/>
          <w:color w:val="000080"/>
          <w:sz w:val="34"/>
          <w:rtl/>
        </w:rPr>
        <w:t>المال</w:t>
      </w:r>
      <w:r w:rsidRPr="002E09E2">
        <w:rPr>
          <w:rFonts w:ascii="IRBadr" w:hAnsi="IRBadr" w:cs="IRBadr"/>
          <w:color w:val="000080"/>
          <w:sz w:val="34"/>
          <w:rtl/>
        </w:rPr>
        <w:t xml:space="preserve"> </w:t>
      </w:r>
      <w:r w:rsidRPr="002E09E2">
        <w:rPr>
          <w:rFonts w:ascii="IRBadr" w:hAnsi="IRBadr" w:cs="IRBadr" w:hint="cs"/>
          <w:color w:val="000080"/>
          <w:sz w:val="34"/>
          <w:rtl/>
        </w:rPr>
        <w:t>دون</w:t>
      </w:r>
      <w:r w:rsidRPr="002E09E2">
        <w:rPr>
          <w:rFonts w:ascii="IRBadr" w:hAnsi="IRBadr" w:cs="IRBadr"/>
          <w:color w:val="000080"/>
          <w:sz w:val="34"/>
          <w:rtl/>
        </w:rPr>
        <w:t xml:space="preserve"> </w:t>
      </w:r>
      <w:r w:rsidRPr="002E09E2">
        <w:rPr>
          <w:rFonts w:ascii="IRBadr" w:hAnsi="IRBadr" w:cs="IRBadr" w:hint="cs"/>
          <w:color w:val="000080"/>
          <w:sz w:val="34"/>
          <w:rtl/>
        </w:rPr>
        <w:t>المساكين»</w:t>
      </w:r>
      <w:r>
        <w:rPr>
          <w:rStyle w:val="FootnoteReference"/>
          <w:rFonts w:ascii="IRBadr" w:hAnsi="IRBadr" w:cs="IRBadr"/>
          <w:color w:val="000080"/>
          <w:sz w:val="34"/>
          <w:rtl/>
        </w:rPr>
        <w:footnoteReference w:id="11"/>
      </w:r>
      <w:r>
        <w:rPr>
          <w:rFonts w:ascii="IRBadr" w:hAnsi="IRBadr" w:cs="IRBadr" w:hint="cs"/>
          <w:sz w:val="34"/>
          <w:rtl/>
        </w:rPr>
        <w:t>.</w:t>
      </w:r>
    </w:p>
    <w:p w:rsidR="00704102" w:rsidRDefault="002E09E2" w:rsidP="00704102">
      <w:pPr>
        <w:rPr>
          <w:rFonts w:ascii="IRBadr" w:hAnsi="IRBadr" w:cs="IRBadr"/>
          <w:sz w:val="34"/>
          <w:rtl/>
        </w:rPr>
      </w:pPr>
      <w:r>
        <w:rPr>
          <w:rFonts w:ascii="IRBadr" w:hAnsi="IRBadr" w:cs="IRBadr" w:hint="cs"/>
          <w:sz w:val="34"/>
          <w:rtl/>
        </w:rPr>
        <w:t xml:space="preserve">این عبارت نشان می‌دهد که تعبیر «المؤن کلّها» ناظر به جمیع مئونه‌های سابقه و لاحقه نیست. پس تفصیل بین مئونه سابقه و لاحقه که مرحوم کاشف الغطاء به آن قائل شده‌اند در کلام دیگران هم وارد شده است. البته تفصیل مرحوم کاشف الغطاء برعکس چیزی است که از کلام شیخ استفاده می‌شود. </w:t>
      </w:r>
      <w:r w:rsidR="00FD5870">
        <w:rPr>
          <w:rFonts w:ascii="IRBadr" w:hAnsi="IRBadr" w:cs="IRBadr" w:hint="cs"/>
          <w:sz w:val="34"/>
          <w:rtl/>
        </w:rPr>
        <w:t>مرحوم کاشف الغطاء بیان</w:t>
      </w:r>
      <w:r w:rsidR="00FD33F2">
        <w:rPr>
          <w:rFonts w:ascii="IRBadr" w:hAnsi="IRBadr" w:cs="IRBadr" w:hint="cs"/>
          <w:sz w:val="34"/>
          <w:rtl/>
        </w:rPr>
        <w:t xml:space="preserve"> کرده که مئونه‌های سابقه استثنا</w:t>
      </w:r>
      <w:r w:rsidR="00FD5870">
        <w:rPr>
          <w:rFonts w:ascii="IRBadr" w:hAnsi="IRBadr" w:cs="IRBadr" w:hint="cs"/>
          <w:sz w:val="34"/>
          <w:rtl/>
        </w:rPr>
        <w:t xml:space="preserve"> نمی‌</w:t>
      </w:r>
      <w:r w:rsidR="00FD33F2">
        <w:rPr>
          <w:rFonts w:ascii="IRBadr" w:hAnsi="IRBadr" w:cs="IRBadr" w:hint="cs"/>
          <w:sz w:val="34"/>
          <w:rtl/>
        </w:rPr>
        <w:t>شود، ولی مئونه‌های لاحقه استثنا</w:t>
      </w:r>
      <w:r w:rsidR="00FD5870">
        <w:rPr>
          <w:rFonts w:ascii="IRBadr" w:hAnsi="IRBadr" w:cs="IRBadr" w:hint="cs"/>
          <w:sz w:val="34"/>
          <w:rtl/>
        </w:rPr>
        <w:t xml:space="preserve"> می‌گردد.</w:t>
      </w:r>
      <w:r w:rsidR="00D63C78">
        <w:rPr>
          <w:rFonts w:ascii="IRBadr" w:hAnsi="IRBadr" w:cs="IRBadr" w:hint="cs"/>
          <w:sz w:val="34"/>
          <w:rtl/>
        </w:rPr>
        <w:t xml:space="preserve"> </w:t>
      </w:r>
    </w:p>
    <w:p w:rsidR="000D7224" w:rsidRDefault="000D7224" w:rsidP="000D7224">
      <w:pPr>
        <w:pStyle w:val="Heading4"/>
        <w:rPr>
          <w:rtl/>
        </w:rPr>
      </w:pPr>
      <w:bookmarkStart w:id="16" w:name="_Toc196078329"/>
      <w:r>
        <w:rPr>
          <w:rFonts w:hint="cs"/>
          <w:rtl/>
        </w:rPr>
        <w:t>عبارت اقتصاد</w:t>
      </w:r>
      <w:bookmarkEnd w:id="16"/>
    </w:p>
    <w:p w:rsidR="001D1314" w:rsidRDefault="001D1314" w:rsidP="00704102">
      <w:pPr>
        <w:rPr>
          <w:rFonts w:ascii="IRBadr" w:hAnsi="IRBadr" w:cs="IRBadr"/>
          <w:sz w:val="34"/>
          <w:rtl/>
        </w:rPr>
      </w:pPr>
      <w:r>
        <w:rPr>
          <w:rFonts w:ascii="IRBadr" w:hAnsi="IRBadr" w:cs="IRBadr" w:hint="cs"/>
          <w:sz w:val="34"/>
          <w:rtl/>
        </w:rPr>
        <w:t>شیخ در اقتصاد آورده است:</w:t>
      </w:r>
    </w:p>
    <w:p w:rsidR="001D1314" w:rsidRDefault="001D1314" w:rsidP="00704102">
      <w:pPr>
        <w:rPr>
          <w:rFonts w:ascii="IRBadr" w:hAnsi="IRBadr" w:cs="IRBadr"/>
          <w:sz w:val="34"/>
          <w:rtl/>
        </w:rPr>
      </w:pPr>
      <w:r w:rsidRPr="001D1314">
        <w:rPr>
          <w:rFonts w:ascii="IRBadr" w:hAnsi="IRBadr" w:cs="IRBadr" w:hint="cs"/>
          <w:color w:val="000080"/>
          <w:sz w:val="34"/>
          <w:rtl/>
        </w:rPr>
        <w:t>«ليس</w:t>
      </w:r>
      <w:r w:rsidRPr="001D1314">
        <w:rPr>
          <w:rFonts w:ascii="IRBadr" w:hAnsi="IRBadr" w:cs="IRBadr"/>
          <w:color w:val="000080"/>
          <w:sz w:val="34"/>
          <w:rtl/>
        </w:rPr>
        <w:t xml:space="preserve"> </w:t>
      </w:r>
      <w:r w:rsidRPr="001D1314">
        <w:rPr>
          <w:rFonts w:ascii="IRBadr" w:hAnsi="IRBadr" w:cs="IRBadr" w:hint="cs"/>
          <w:color w:val="000080"/>
          <w:sz w:val="34"/>
          <w:rtl/>
        </w:rPr>
        <w:t>فيها</w:t>
      </w:r>
      <w:r w:rsidRPr="001D1314">
        <w:rPr>
          <w:rFonts w:ascii="IRBadr" w:hAnsi="IRBadr" w:cs="IRBadr"/>
          <w:color w:val="000080"/>
          <w:sz w:val="34"/>
          <w:rtl/>
        </w:rPr>
        <w:t xml:space="preserve"> </w:t>
      </w:r>
      <w:r w:rsidRPr="001D1314">
        <w:rPr>
          <w:rFonts w:ascii="IRBadr" w:hAnsi="IRBadr" w:cs="IRBadr" w:hint="cs"/>
          <w:color w:val="000080"/>
          <w:sz w:val="34"/>
          <w:rtl/>
        </w:rPr>
        <w:t>زكاة</w:t>
      </w:r>
      <w:r w:rsidRPr="001D1314">
        <w:rPr>
          <w:rFonts w:ascii="IRBadr" w:hAnsi="IRBadr" w:cs="IRBadr"/>
          <w:color w:val="000080"/>
          <w:sz w:val="34"/>
          <w:rtl/>
        </w:rPr>
        <w:t xml:space="preserve"> </w:t>
      </w:r>
      <w:r w:rsidRPr="001D1314">
        <w:rPr>
          <w:rFonts w:ascii="IRBadr" w:hAnsi="IRBadr" w:cs="IRBadr" w:hint="cs"/>
          <w:color w:val="000080"/>
          <w:sz w:val="34"/>
          <w:rtl/>
        </w:rPr>
        <w:t>حتى</w:t>
      </w:r>
      <w:r w:rsidRPr="001D1314">
        <w:rPr>
          <w:rFonts w:ascii="IRBadr" w:hAnsi="IRBadr" w:cs="IRBadr"/>
          <w:color w:val="000080"/>
          <w:sz w:val="34"/>
          <w:rtl/>
        </w:rPr>
        <w:t xml:space="preserve"> </w:t>
      </w:r>
      <w:r w:rsidRPr="001D1314">
        <w:rPr>
          <w:rFonts w:ascii="IRBadr" w:hAnsi="IRBadr" w:cs="IRBadr" w:hint="cs"/>
          <w:color w:val="000080"/>
          <w:sz w:val="34"/>
          <w:rtl/>
        </w:rPr>
        <w:t>تبلغ</w:t>
      </w:r>
      <w:r w:rsidRPr="001D1314">
        <w:rPr>
          <w:rFonts w:ascii="IRBadr" w:hAnsi="IRBadr" w:cs="IRBadr"/>
          <w:color w:val="000080"/>
          <w:sz w:val="34"/>
          <w:rtl/>
        </w:rPr>
        <w:t xml:space="preserve"> </w:t>
      </w:r>
      <w:r w:rsidRPr="001D1314">
        <w:rPr>
          <w:rFonts w:ascii="IRBadr" w:hAnsi="IRBadr" w:cs="IRBadr" w:hint="cs"/>
          <w:color w:val="000080"/>
          <w:sz w:val="34"/>
          <w:rtl/>
        </w:rPr>
        <w:t>نصابا،</w:t>
      </w:r>
      <w:r w:rsidRPr="001D1314">
        <w:rPr>
          <w:rFonts w:ascii="IRBadr" w:hAnsi="IRBadr" w:cs="IRBadr"/>
          <w:color w:val="000080"/>
          <w:sz w:val="34"/>
          <w:rtl/>
        </w:rPr>
        <w:t xml:space="preserve"> </w:t>
      </w:r>
      <w:r w:rsidRPr="001D1314">
        <w:rPr>
          <w:rFonts w:ascii="IRBadr" w:hAnsi="IRBadr" w:cs="IRBadr" w:hint="cs"/>
          <w:color w:val="000080"/>
          <w:sz w:val="34"/>
          <w:rtl/>
        </w:rPr>
        <w:t>و</w:t>
      </w:r>
      <w:r w:rsidRPr="001D1314">
        <w:rPr>
          <w:rFonts w:ascii="IRBadr" w:hAnsi="IRBadr" w:cs="IRBadr"/>
          <w:color w:val="000080"/>
          <w:sz w:val="34"/>
          <w:rtl/>
        </w:rPr>
        <w:t xml:space="preserve"> </w:t>
      </w:r>
      <w:r w:rsidRPr="001D1314">
        <w:rPr>
          <w:rFonts w:ascii="IRBadr" w:hAnsi="IRBadr" w:cs="IRBadr" w:hint="cs"/>
          <w:color w:val="000080"/>
          <w:sz w:val="34"/>
          <w:rtl/>
        </w:rPr>
        <w:t>هو</w:t>
      </w:r>
      <w:r w:rsidRPr="001D1314">
        <w:rPr>
          <w:rFonts w:ascii="IRBadr" w:hAnsi="IRBadr" w:cs="IRBadr"/>
          <w:color w:val="000080"/>
          <w:sz w:val="34"/>
          <w:rtl/>
        </w:rPr>
        <w:t xml:space="preserve"> </w:t>
      </w:r>
      <w:r w:rsidRPr="001D1314">
        <w:rPr>
          <w:rFonts w:ascii="IRBadr" w:hAnsi="IRBadr" w:cs="IRBadr" w:hint="cs"/>
          <w:color w:val="000080"/>
          <w:sz w:val="34"/>
          <w:rtl/>
        </w:rPr>
        <w:t>خمسة</w:t>
      </w:r>
      <w:r w:rsidRPr="001D1314">
        <w:rPr>
          <w:rFonts w:ascii="IRBadr" w:hAnsi="IRBadr" w:cs="IRBadr"/>
          <w:color w:val="000080"/>
          <w:sz w:val="34"/>
          <w:rtl/>
        </w:rPr>
        <w:t xml:space="preserve"> </w:t>
      </w:r>
      <w:r w:rsidRPr="001D1314">
        <w:rPr>
          <w:rFonts w:ascii="IRBadr" w:hAnsi="IRBadr" w:cs="IRBadr" w:hint="cs"/>
          <w:color w:val="000080"/>
          <w:sz w:val="34"/>
          <w:rtl/>
        </w:rPr>
        <w:t>أوسق،</w:t>
      </w:r>
      <w:r w:rsidRPr="001D1314">
        <w:rPr>
          <w:rFonts w:ascii="IRBadr" w:hAnsi="IRBadr" w:cs="IRBadr"/>
          <w:color w:val="000080"/>
          <w:sz w:val="34"/>
          <w:rtl/>
        </w:rPr>
        <w:t xml:space="preserve"> </w:t>
      </w:r>
      <w:r w:rsidRPr="001D1314">
        <w:rPr>
          <w:rFonts w:ascii="IRBadr" w:hAnsi="IRBadr" w:cs="IRBadr" w:hint="cs"/>
          <w:color w:val="000080"/>
          <w:sz w:val="34"/>
          <w:rtl/>
        </w:rPr>
        <w:t>و</w:t>
      </w:r>
      <w:r w:rsidRPr="001D1314">
        <w:rPr>
          <w:rFonts w:ascii="IRBadr" w:hAnsi="IRBadr" w:cs="IRBadr"/>
          <w:color w:val="000080"/>
          <w:sz w:val="34"/>
          <w:rtl/>
        </w:rPr>
        <w:t xml:space="preserve"> </w:t>
      </w:r>
      <w:r w:rsidRPr="001D1314">
        <w:rPr>
          <w:rFonts w:ascii="IRBadr" w:hAnsi="IRBadr" w:cs="IRBadr" w:hint="cs"/>
          <w:color w:val="000080"/>
          <w:sz w:val="34"/>
          <w:rtl/>
        </w:rPr>
        <w:t>الوسق</w:t>
      </w:r>
      <w:r w:rsidRPr="001D1314">
        <w:rPr>
          <w:rFonts w:ascii="IRBadr" w:hAnsi="IRBadr" w:cs="IRBadr"/>
          <w:color w:val="000080"/>
          <w:sz w:val="34"/>
          <w:rtl/>
        </w:rPr>
        <w:t xml:space="preserve"> </w:t>
      </w:r>
      <w:r w:rsidRPr="001D1314">
        <w:rPr>
          <w:rFonts w:ascii="IRBadr" w:hAnsi="IRBadr" w:cs="IRBadr" w:hint="cs"/>
          <w:color w:val="000080"/>
          <w:sz w:val="34"/>
          <w:rtl/>
        </w:rPr>
        <w:t>ستون</w:t>
      </w:r>
      <w:r w:rsidRPr="001D1314">
        <w:rPr>
          <w:rFonts w:ascii="IRBadr" w:hAnsi="IRBadr" w:cs="IRBadr"/>
          <w:color w:val="000080"/>
          <w:sz w:val="34"/>
          <w:rtl/>
        </w:rPr>
        <w:t xml:space="preserve"> </w:t>
      </w:r>
      <w:r w:rsidRPr="001D1314">
        <w:rPr>
          <w:rFonts w:ascii="IRBadr" w:hAnsi="IRBadr" w:cs="IRBadr" w:hint="cs"/>
          <w:color w:val="000080"/>
          <w:sz w:val="34"/>
          <w:rtl/>
        </w:rPr>
        <w:t>صاعا،</w:t>
      </w:r>
      <w:r w:rsidRPr="001D1314">
        <w:rPr>
          <w:rFonts w:ascii="IRBadr" w:hAnsi="IRBadr" w:cs="IRBadr"/>
          <w:color w:val="000080"/>
          <w:sz w:val="34"/>
          <w:rtl/>
        </w:rPr>
        <w:t xml:space="preserve"> </w:t>
      </w:r>
      <w:r w:rsidRPr="001D1314">
        <w:rPr>
          <w:rFonts w:ascii="IRBadr" w:hAnsi="IRBadr" w:cs="IRBadr" w:hint="cs"/>
          <w:color w:val="000080"/>
          <w:sz w:val="34"/>
          <w:rtl/>
        </w:rPr>
        <w:t>و</w:t>
      </w:r>
      <w:r w:rsidRPr="001D1314">
        <w:rPr>
          <w:rFonts w:ascii="IRBadr" w:hAnsi="IRBadr" w:cs="IRBadr"/>
          <w:color w:val="000080"/>
          <w:sz w:val="34"/>
          <w:rtl/>
        </w:rPr>
        <w:t xml:space="preserve"> </w:t>
      </w:r>
      <w:r w:rsidRPr="001D1314">
        <w:rPr>
          <w:rFonts w:ascii="IRBadr" w:hAnsi="IRBadr" w:cs="IRBadr" w:hint="cs"/>
          <w:color w:val="000080"/>
          <w:sz w:val="34"/>
          <w:rtl/>
        </w:rPr>
        <w:t>الصاع</w:t>
      </w:r>
      <w:r w:rsidRPr="001D1314">
        <w:rPr>
          <w:rFonts w:ascii="IRBadr" w:hAnsi="IRBadr" w:cs="IRBadr"/>
          <w:color w:val="000080"/>
          <w:sz w:val="34"/>
          <w:rtl/>
        </w:rPr>
        <w:t xml:space="preserve"> </w:t>
      </w:r>
      <w:r w:rsidRPr="001D1314">
        <w:rPr>
          <w:rFonts w:ascii="IRBadr" w:hAnsi="IRBadr" w:cs="IRBadr" w:hint="cs"/>
          <w:color w:val="000080"/>
          <w:sz w:val="34"/>
          <w:rtl/>
        </w:rPr>
        <w:t>تسعة</w:t>
      </w:r>
      <w:r w:rsidRPr="001D1314">
        <w:rPr>
          <w:rFonts w:ascii="IRBadr" w:hAnsi="IRBadr" w:cs="IRBadr"/>
          <w:color w:val="000080"/>
          <w:sz w:val="34"/>
          <w:rtl/>
        </w:rPr>
        <w:t xml:space="preserve"> </w:t>
      </w:r>
      <w:r w:rsidRPr="001D1314">
        <w:rPr>
          <w:rFonts w:ascii="IRBadr" w:hAnsi="IRBadr" w:cs="IRBadr" w:hint="cs"/>
          <w:color w:val="000080"/>
          <w:sz w:val="34"/>
          <w:rtl/>
        </w:rPr>
        <w:t>أرطال</w:t>
      </w:r>
      <w:r w:rsidRPr="001D1314">
        <w:rPr>
          <w:rFonts w:ascii="IRBadr" w:hAnsi="IRBadr" w:cs="IRBadr"/>
          <w:color w:val="000080"/>
          <w:sz w:val="34"/>
          <w:rtl/>
        </w:rPr>
        <w:t xml:space="preserve"> </w:t>
      </w:r>
      <w:r w:rsidRPr="001D1314">
        <w:rPr>
          <w:rFonts w:ascii="IRBadr" w:hAnsi="IRBadr" w:cs="IRBadr" w:hint="cs"/>
          <w:color w:val="000080"/>
          <w:sz w:val="34"/>
          <w:rtl/>
        </w:rPr>
        <w:t>بالعراقي</w:t>
      </w:r>
      <w:r w:rsidRPr="001D1314">
        <w:rPr>
          <w:rFonts w:ascii="IRBadr" w:hAnsi="IRBadr" w:cs="IRBadr"/>
          <w:color w:val="000080"/>
          <w:sz w:val="34"/>
          <w:rtl/>
        </w:rPr>
        <w:t xml:space="preserve"> </w:t>
      </w:r>
      <w:r w:rsidRPr="001D1314">
        <w:rPr>
          <w:rFonts w:ascii="IRBadr" w:hAnsi="IRBadr" w:cs="IRBadr" w:hint="cs"/>
          <w:color w:val="000080"/>
          <w:sz w:val="34"/>
          <w:rtl/>
        </w:rPr>
        <w:t>بعد</w:t>
      </w:r>
      <w:r w:rsidRPr="001D1314">
        <w:rPr>
          <w:rFonts w:ascii="IRBadr" w:hAnsi="IRBadr" w:cs="IRBadr"/>
          <w:color w:val="000080"/>
          <w:sz w:val="34"/>
          <w:rtl/>
        </w:rPr>
        <w:t xml:space="preserve"> </w:t>
      </w:r>
      <w:r w:rsidRPr="001D1314">
        <w:rPr>
          <w:rFonts w:ascii="IRBadr" w:hAnsi="IRBadr" w:cs="IRBadr" w:hint="cs"/>
          <w:color w:val="000080"/>
          <w:sz w:val="34"/>
          <w:rtl/>
        </w:rPr>
        <w:t>إخراج</w:t>
      </w:r>
      <w:r w:rsidRPr="001D1314">
        <w:rPr>
          <w:rFonts w:ascii="IRBadr" w:hAnsi="IRBadr" w:cs="IRBadr"/>
          <w:color w:val="000080"/>
          <w:sz w:val="34"/>
          <w:rtl/>
        </w:rPr>
        <w:t xml:space="preserve"> </w:t>
      </w:r>
      <w:r w:rsidRPr="001D1314">
        <w:rPr>
          <w:rFonts w:ascii="IRBadr" w:hAnsi="IRBadr" w:cs="IRBadr" w:hint="cs"/>
          <w:color w:val="000080"/>
          <w:sz w:val="34"/>
          <w:rtl/>
        </w:rPr>
        <w:t>المؤن</w:t>
      </w:r>
      <w:r w:rsidRPr="001D1314">
        <w:rPr>
          <w:rFonts w:ascii="IRBadr" w:hAnsi="IRBadr" w:cs="IRBadr"/>
          <w:color w:val="000080"/>
          <w:sz w:val="34"/>
          <w:rtl/>
        </w:rPr>
        <w:t xml:space="preserve"> </w:t>
      </w:r>
      <w:r w:rsidRPr="001D1314">
        <w:rPr>
          <w:rFonts w:ascii="IRBadr" w:hAnsi="IRBadr" w:cs="IRBadr" w:hint="cs"/>
          <w:color w:val="000080"/>
          <w:sz w:val="34"/>
          <w:rtl/>
        </w:rPr>
        <w:t>كلها</w:t>
      </w:r>
      <w:r w:rsidRPr="001D1314">
        <w:rPr>
          <w:rFonts w:ascii="IRBadr" w:hAnsi="IRBadr" w:cs="IRBadr"/>
          <w:color w:val="000080"/>
          <w:sz w:val="34"/>
          <w:rtl/>
        </w:rPr>
        <w:t xml:space="preserve"> </w:t>
      </w:r>
      <w:r w:rsidRPr="001D1314">
        <w:rPr>
          <w:rFonts w:ascii="IRBadr" w:hAnsi="IRBadr" w:cs="IRBadr" w:hint="cs"/>
          <w:color w:val="000080"/>
          <w:sz w:val="34"/>
          <w:rtl/>
        </w:rPr>
        <w:t>من</w:t>
      </w:r>
      <w:r w:rsidRPr="001D1314">
        <w:rPr>
          <w:rFonts w:ascii="IRBadr" w:hAnsi="IRBadr" w:cs="IRBadr"/>
          <w:color w:val="000080"/>
          <w:sz w:val="34"/>
          <w:rtl/>
        </w:rPr>
        <w:t xml:space="preserve"> </w:t>
      </w:r>
      <w:r w:rsidRPr="001D1314">
        <w:rPr>
          <w:rFonts w:ascii="IRBadr" w:hAnsi="IRBadr" w:cs="IRBadr" w:hint="cs"/>
          <w:color w:val="000080"/>
          <w:sz w:val="34"/>
          <w:rtl/>
        </w:rPr>
        <w:t>الخراج</w:t>
      </w:r>
      <w:r w:rsidRPr="001D1314">
        <w:rPr>
          <w:rFonts w:ascii="IRBadr" w:hAnsi="IRBadr" w:cs="IRBadr"/>
          <w:color w:val="000080"/>
          <w:sz w:val="34"/>
          <w:rtl/>
        </w:rPr>
        <w:t xml:space="preserve"> </w:t>
      </w:r>
      <w:r w:rsidRPr="001D1314">
        <w:rPr>
          <w:rFonts w:ascii="IRBadr" w:hAnsi="IRBadr" w:cs="IRBadr" w:hint="cs"/>
          <w:color w:val="000080"/>
          <w:sz w:val="34"/>
          <w:rtl/>
        </w:rPr>
        <w:t>و</w:t>
      </w:r>
      <w:r w:rsidRPr="001D1314">
        <w:rPr>
          <w:rFonts w:ascii="IRBadr" w:hAnsi="IRBadr" w:cs="IRBadr"/>
          <w:color w:val="000080"/>
          <w:sz w:val="34"/>
          <w:rtl/>
        </w:rPr>
        <w:t xml:space="preserve"> </w:t>
      </w:r>
      <w:r w:rsidRPr="001D1314">
        <w:rPr>
          <w:rFonts w:ascii="IRBadr" w:hAnsi="IRBadr" w:cs="IRBadr" w:hint="cs"/>
          <w:color w:val="000080"/>
          <w:sz w:val="34"/>
          <w:rtl/>
        </w:rPr>
        <w:t>حق</w:t>
      </w:r>
      <w:r w:rsidRPr="001D1314">
        <w:rPr>
          <w:rFonts w:ascii="IRBadr" w:hAnsi="IRBadr" w:cs="IRBadr"/>
          <w:color w:val="000080"/>
          <w:sz w:val="34"/>
          <w:rtl/>
        </w:rPr>
        <w:t xml:space="preserve"> </w:t>
      </w:r>
      <w:r w:rsidRPr="001D1314">
        <w:rPr>
          <w:rFonts w:ascii="IRBadr" w:hAnsi="IRBadr" w:cs="IRBadr" w:hint="cs"/>
          <w:color w:val="000080"/>
          <w:sz w:val="34"/>
          <w:rtl/>
        </w:rPr>
        <w:t>الأ</w:t>
      </w:r>
      <w:r>
        <w:rPr>
          <w:rFonts w:ascii="IRBadr" w:hAnsi="IRBadr" w:cs="IRBadr" w:hint="cs"/>
          <w:color w:val="000080"/>
          <w:sz w:val="34"/>
          <w:rtl/>
        </w:rPr>
        <w:t>َ</w:t>
      </w:r>
      <w:r w:rsidRPr="001D1314">
        <w:rPr>
          <w:rFonts w:ascii="IRBadr" w:hAnsi="IRBadr" w:cs="IRBadr" w:hint="cs"/>
          <w:color w:val="000080"/>
          <w:sz w:val="34"/>
          <w:rtl/>
        </w:rPr>
        <w:t>ك</w:t>
      </w:r>
      <w:r>
        <w:rPr>
          <w:rFonts w:ascii="IRBadr" w:hAnsi="IRBadr" w:cs="IRBadr" w:hint="cs"/>
          <w:color w:val="000080"/>
          <w:sz w:val="34"/>
          <w:rtl/>
        </w:rPr>
        <w:t>َ</w:t>
      </w:r>
      <w:r w:rsidRPr="001D1314">
        <w:rPr>
          <w:rFonts w:ascii="IRBadr" w:hAnsi="IRBadr" w:cs="IRBadr" w:hint="cs"/>
          <w:color w:val="000080"/>
          <w:sz w:val="34"/>
          <w:rtl/>
        </w:rPr>
        <w:t>رة</w:t>
      </w:r>
      <w:r w:rsidRPr="001D1314">
        <w:rPr>
          <w:rFonts w:ascii="IRBadr" w:hAnsi="IRBadr" w:cs="IRBadr"/>
          <w:color w:val="000080"/>
          <w:sz w:val="34"/>
          <w:rtl/>
        </w:rPr>
        <w:t xml:space="preserve"> </w:t>
      </w:r>
      <w:r w:rsidRPr="001D1314">
        <w:rPr>
          <w:rFonts w:ascii="IRBadr" w:hAnsi="IRBadr" w:cs="IRBadr" w:hint="cs"/>
          <w:color w:val="000080"/>
          <w:sz w:val="34"/>
          <w:rtl/>
        </w:rPr>
        <w:t>و</w:t>
      </w:r>
      <w:r w:rsidRPr="001D1314">
        <w:rPr>
          <w:rFonts w:ascii="IRBadr" w:hAnsi="IRBadr" w:cs="IRBadr"/>
          <w:color w:val="000080"/>
          <w:sz w:val="34"/>
          <w:rtl/>
        </w:rPr>
        <w:t xml:space="preserve"> </w:t>
      </w:r>
      <w:r w:rsidRPr="001D1314">
        <w:rPr>
          <w:rFonts w:ascii="IRBadr" w:hAnsi="IRBadr" w:cs="IRBadr" w:hint="cs"/>
          <w:color w:val="000080"/>
          <w:sz w:val="34"/>
          <w:rtl/>
        </w:rPr>
        <w:t>الثلث</w:t>
      </w:r>
      <w:r w:rsidRPr="001D1314">
        <w:rPr>
          <w:rFonts w:ascii="IRBadr" w:hAnsi="IRBadr" w:cs="IRBadr"/>
          <w:color w:val="000080"/>
          <w:sz w:val="34"/>
          <w:rtl/>
        </w:rPr>
        <w:t xml:space="preserve"> </w:t>
      </w:r>
      <w:r w:rsidRPr="001D1314">
        <w:rPr>
          <w:rFonts w:ascii="IRBadr" w:hAnsi="IRBadr" w:cs="IRBadr" w:hint="cs"/>
          <w:color w:val="000080"/>
          <w:sz w:val="34"/>
          <w:rtl/>
        </w:rPr>
        <w:t>و</w:t>
      </w:r>
      <w:r w:rsidRPr="001D1314">
        <w:rPr>
          <w:rFonts w:ascii="IRBadr" w:hAnsi="IRBadr" w:cs="IRBadr"/>
          <w:color w:val="000080"/>
          <w:sz w:val="34"/>
          <w:rtl/>
        </w:rPr>
        <w:t xml:space="preserve"> </w:t>
      </w:r>
      <w:r>
        <w:rPr>
          <w:rFonts w:ascii="IRBadr" w:hAnsi="IRBadr" w:cs="IRBadr" w:hint="cs"/>
          <w:color w:val="000080"/>
          <w:sz w:val="34"/>
          <w:rtl/>
        </w:rPr>
        <w:t>غيره</w:t>
      </w:r>
      <w:r w:rsidRPr="001D1314">
        <w:rPr>
          <w:rFonts w:ascii="IRBadr" w:hAnsi="IRBadr" w:cs="IRBadr" w:hint="cs"/>
          <w:color w:val="000080"/>
          <w:sz w:val="34"/>
          <w:rtl/>
        </w:rPr>
        <w:t>»</w:t>
      </w:r>
      <w:r>
        <w:rPr>
          <w:rStyle w:val="FootnoteReference"/>
          <w:rFonts w:ascii="IRBadr" w:hAnsi="IRBadr" w:cs="IRBadr"/>
          <w:color w:val="000080"/>
          <w:sz w:val="34"/>
          <w:rtl/>
        </w:rPr>
        <w:footnoteReference w:id="12"/>
      </w:r>
      <w:r>
        <w:rPr>
          <w:rFonts w:ascii="IRBadr" w:hAnsi="IRBadr" w:cs="IRBadr" w:hint="cs"/>
          <w:sz w:val="34"/>
          <w:rtl/>
        </w:rPr>
        <w:t xml:space="preserve">. </w:t>
      </w:r>
    </w:p>
    <w:p w:rsidR="001D1314" w:rsidRDefault="001D1314" w:rsidP="001D1314">
      <w:pPr>
        <w:rPr>
          <w:rFonts w:ascii="IRBadr" w:hAnsi="IRBadr" w:cs="IRBadr"/>
          <w:sz w:val="34"/>
          <w:rtl/>
        </w:rPr>
      </w:pPr>
      <w:r>
        <w:rPr>
          <w:rFonts w:ascii="IRBadr" w:hAnsi="IRBadr" w:cs="IRBadr" w:hint="cs"/>
          <w:sz w:val="34"/>
          <w:rtl/>
        </w:rPr>
        <w:t>«اَکَره» به معنای کارگران و اجیرانی است که برای کاشت محصول به کار گرفته می‌شدند. معنای «ثلث» نیاز به تامل و مراجعه به منابع دارد.</w:t>
      </w:r>
    </w:p>
    <w:p w:rsidR="002E09E2" w:rsidRDefault="002E09E2" w:rsidP="00704102">
      <w:pPr>
        <w:rPr>
          <w:rFonts w:ascii="IRBadr" w:hAnsi="IRBadr" w:cs="IRBadr"/>
          <w:sz w:val="34"/>
          <w:rtl/>
        </w:rPr>
      </w:pPr>
    </w:p>
    <w:p w:rsidR="008F50FD" w:rsidRDefault="008F50FD" w:rsidP="008F50FD">
      <w:pPr>
        <w:rPr>
          <w:rFonts w:ascii="IRBadr" w:hAnsi="IRBadr" w:cs="IRBadr"/>
          <w:sz w:val="34"/>
          <w:rtl/>
        </w:rPr>
      </w:pPr>
    </w:p>
    <w:p w:rsidR="003A3B91" w:rsidRPr="003A3B91" w:rsidRDefault="003A3B91" w:rsidP="003A3B91">
      <w:pPr>
        <w:rPr>
          <w:rFonts w:ascii="IRBadr" w:hAnsi="IRBadr" w:cs="IRBadr"/>
          <w:sz w:val="34"/>
          <w:rtl/>
        </w:rPr>
      </w:pPr>
    </w:p>
    <w:sectPr w:rsidR="003A3B91" w:rsidRPr="003A3B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7F" w:rsidRDefault="000E3C7F" w:rsidP="008B750B">
      <w:pPr>
        <w:spacing w:line="240" w:lineRule="auto"/>
      </w:pPr>
      <w:r>
        <w:separator/>
      </w:r>
    </w:p>
    <w:p w:rsidR="000E3C7F" w:rsidRDefault="000E3C7F"/>
  </w:endnote>
  <w:endnote w:type="continuationSeparator" w:id="0">
    <w:p w:rsidR="000E3C7F" w:rsidRDefault="000E3C7F" w:rsidP="008B750B">
      <w:pPr>
        <w:spacing w:line="240" w:lineRule="auto"/>
      </w:pPr>
      <w:r>
        <w:continuationSeparator/>
      </w:r>
    </w:p>
    <w:p w:rsidR="000E3C7F" w:rsidRDefault="000E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B3" w:rsidRDefault="002203B3">
    <w:pPr>
      <w:pStyle w:val="Footer"/>
    </w:pPr>
  </w:p>
  <w:p w:rsidR="002203B3" w:rsidRDefault="002203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7"/>
      <w:gridCol w:w="2213"/>
      <w:gridCol w:w="4694"/>
    </w:tblGrid>
    <w:tr w:rsidR="002203B3" w:rsidRPr="006D44C1" w:rsidTr="0020241A">
      <w:tc>
        <w:tcPr>
          <w:tcW w:w="3382" w:type="dxa"/>
          <w:tcBorders>
            <w:top w:val="nil"/>
            <w:left w:val="nil"/>
            <w:bottom w:val="nil"/>
            <w:right w:val="nil"/>
          </w:tcBorders>
        </w:tcPr>
        <w:p w:rsidR="002203B3" w:rsidRDefault="002203B3" w:rsidP="00257650">
          <w:pPr>
            <w:pStyle w:val="Footer"/>
            <w:ind w:firstLine="0"/>
            <w:rPr>
              <w:rtl/>
            </w:rPr>
          </w:pPr>
          <w:r w:rsidRPr="006D44C1">
            <w:rPr>
              <w:rFonts w:hint="cs"/>
              <w:color w:val="808080" w:themeColor="background1" w:themeShade="80"/>
              <w:rtl/>
            </w:rPr>
            <w:t xml:space="preserve">مدرسه </w:t>
          </w:r>
          <w:r w:rsidRPr="006D44C1">
            <w:rPr>
              <w:rFonts w:hint="cs"/>
              <w:color w:val="808080" w:themeColor="background1" w:themeShade="80"/>
              <w:rtl/>
            </w:rPr>
            <w:t xml:space="preserve">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2203B3" w:rsidRDefault="002203B3" w:rsidP="006D44C1">
          <w:pPr>
            <w:pStyle w:val="Footer"/>
            <w:jc w:val="right"/>
            <w:rPr>
              <w:rtl/>
            </w:rPr>
          </w:pPr>
          <w:r>
            <w:rPr>
              <w:rFonts w:hint="cs"/>
              <w:rtl/>
            </w:rPr>
            <w:t xml:space="preserve">صفحه </w:t>
          </w:r>
          <w:r>
            <w:fldChar w:fldCharType="begin"/>
          </w:r>
          <w:r>
            <w:instrText>PAGE   \* MERGEFORMAT</w:instrText>
          </w:r>
          <w:r>
            <w:fldChar w:fldCharType="separate"/>
          </w:r>
          <w:r w:rsidR="001432B9" w:rsidRPr="001432B9">
            <w:rPr>
              <w:noProof/>
              <w:rtl/>
              <w:lang w:val="fa-IR"/>
            </w:rPr>
            <w:t>1</w:t>
          </w:r>
          <w:r>
            <w:rPr>
              <w:noProof/>
            </w:rPr>
            <w:fldChar w:fldCharType="end"/>
          </w:r>
        </w:p>
      </w:tc>
      <w:tc>
        <w:tcPr>
          <w:tcW w:w="4786" w:type="dxa"/>
          <w:tcBorders>
            <w:top w:val="nil"/>
            <w:left w:val="nil"/>
            <w:bottom w:val="nil"/>
            <w:right w:val="nil"/>
          </w:tcBorders>
          <w:vAlign w:val="center"/>
        </w:tcPr>
        <w:p w:rsidR="002203B3" w:rsidRPr="006D44C1" w:rsidRDefault="002203B3" w:rsidP="001B6799">
          <w:pPr>
            <w:pStyle w:val="Footer"/>
            <w:bidi w:val="0"/>
            <w:rPr>
              <w:color w:val="808080" w:themeColor="background1" w:themeShade="80"/>
              <w:rtl/>
            </w:rPr>
          </w:pPr>
          <w:bookmarkStart w:id="24" w:name="BokAdres"/>
          <w:bookmarkEnd w:id="24"/>
          <w:r>
            <w:rPr>
              <w:color w:val="808080" w:themeColor="background1" w:themeShade="80"/>
            </w:rPr>
            <w:t>F1js1_14030618-001_ah1_mfeb.ir</w:t>
          </w:r>
        </w:p>
      </w:tc>
    </w:tr>
  </w:tbl>
  <w:p w:rsidR="002203B3" w:rsidRDefault="002203B3" w:rsidP="00FA5F3D">
    <w:pPr>
      <w:pStyle w:val="Footer"/>
      <w:jc w:val="center"/>
    </w:pPr>
  </w:p>
  <w:p w:rsidR="002203B3" w:rsidRDefault="002203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C7F" w:rsidRDefault="000E3C7F" w:rsidP="008B750B">
      <w:pPr>
        <w:spacing w:line="240" w:lineRule="auto"/>
      </w:pPr>
      <w:r>
        <w:separator/>
      </w:r>
    </w:p>
    <w:p w:rsidR="000E3C7F" w:rsidRDefault="000E3C7F"/>
  </w:footnote>
  <w:footnote w:type="continuationSeparator" w:id="0">
    <w:p w:rsidR="000E3C7F" w:rsidRDefault="000E3C7F" w:rsidP="008B750B">
      <w:pPr>
        <w:spacing w:line="240" w:lineRule="auto"/>
      </w:pPr>
      <w:r>
        <w:continuationSeparator/>
      </w:r>
    </w:p>
    <w:p w:rsidR="000E3C7F" w:rsidRDefault="000E3C7F"/>
  </w:footnote>
  <w:footnote w:id="1">
    <w:p w:rsidR="008F50FD" w:rsidRDefault="008F50FD">
      <w:pPr>
        <w:pStyle w:val="FootnoteText"/>
      </w:pPr>
      <w:r>
        <w:rPr>
          <w:rStyle w:val="FootnoteReference"/>
        </w:rPr>
        <w:footnoteRef/>
      </w:r>
      <w:r>
        <w:rPr>
          <w:rtl/>
        </w:rPr>
        <w:t xml:space="preserve"> </w:t>
      </w:r>
      <w:r w:rsidRPr="008F50FD">
        <w:rPr>
          <w:rFonts w:hint="cs"/>
          <w:rtl/>
        </w:rPr>
        <w:t>الفقه</w:t>
      </w:r>
      <w:r w:rsidRPr="008F50FD">
        <w:rPr>
          <w:rtl/>
        </w:rPr>
        <w:t xml:space="preserve"> - </w:t>
      </w:r>
      <w:r w:rsidRPr="008F50FD">
        <w:rPr>
          <w:rFonts w:hint="cs"/>
          <w:rtl/>
        </w:rPr>
        <w:t>فقه</w:t>
      </w:r>
      <w:r w:rsidRPr="008F50FD">
        <w:rPr>
          <w:rtl/>
        </w:rPr>
        <w:t xml:space="preserve"> </w:t>
      </w:r>
      <w:r w:rsidRPr="008F50FD">
        <w:rPr>
          <w:rFonts w:hint="cs"/>
          <w:rtl/>
        </w:rPr>
        <w:t>الرضا،</w:t>
      </w:r>
      <w:r w:rsidRPr="008F50FD">
        <w:rPr>
          <w:rtl/>
        </w:rPr>
        <w:t xml:space="preserve"> </w:t>
      </w:r>
      <w:r w:rsidRPr="008F50FD">
        <w:rPr>
          <w:rFonts w:hint="cs"/>
          <w:rtl/>
        </w:rPr>
        <w:t>ص</w:t>
      </w:r>
      <w:r w:rsidRPr="008F50FD">
        <w:rPr>
          <w:rtl/>
        </w:rPr>
        <w:t>: 197‌</w:t>
      </w:r>
      <w:r>
        <w:rPr>
          <w:rFonts w:hint="cs"/>
          <w:rtl/>
        </w:rPr>
        <w:t>؛ ینابیع، ج۵، ص۴</w:t>
      </w:r>
    </w:p>
  </w:footnote>
  <w:footnote w:id="2">
    <w:p w:rsidR="008F50FD" w:rsidRPr="008F50FD" w:rsidRDefault="008F50FD" w:rsidP="008F50FD">
      <w:pPr>
        <w:pStyle w:val="FootnoteText"/>
        <w:rPr>
          <w:rtl/>
        </w:rPr>
      </w:pPr>
      <w:r w:rsidRPr="008F50FD">
        <w:footnoteRef/>
      </w:r>
      <w:r w:rsidRPr="008F50FD">
        <w:rPr>
          <w:rtl/>
        </w:rPr>
        <w:t xml:space="preserve"> </w:t>
      </w:r>
      <w:hyperlink r:id="rId1" w:history="1">
        <w:r w:rsidRPr="008F50FD">
          <w:rPr>
            <w:rStyle w:val="Hyperlink"/>
            <w:rFonts w:hint="cs"/>
            <w:rtl/>
          </w:rPr>
          <w:t>المقنع،</w:t>
        </w:r>
        <w:r w:rsidRPr="008F50FD">
          <w:rPr>
            <w:rStyle w:val="Hyperlink"/>
            <w:rtl/>
          </w:rPr>
          <w:t xml:space="preserve"> </w:t>
        </w:r>
        <w:r w:rsidRPr="008F50FD">
          <w:rPr>
            <w:rStyle w:val="Hyperlink"/>
            <w:rFonts w:hint="cs"/>
            <w:rtl/>
          </w:rPr>
          <w:t>شیخ</w:t>
        </w:r>
        <w:r w:rsidRPr="008F50FD">
          <w:rPr>
            <w:rStyle w:val="Hyperlink"/>
            <w:rtl/>
          </w:rPr>
          <w:t xml:space="preserve"> </w:t>
        </w:r>
        <w:r w:rsidRPr="008F50FD">
          <w:rPr>
            <w:rStyle w:val="Hyperlink"/>
            <w:rFonts w:hint="cs"/>
            <w:rtl/>
          </w:rPr>
          <w:t>صدوق،</w:t>
        </w:r>
        <w:r w:rsidRPr="008F50FD">
          <w:rPr>
            <w:rStyle w:val="Hyperlink"/>
            <w:rtl/>
          </w:rPr>
          <w:t xml:space="preserve"> </w:t>
        </w:r>
        <w:r w:rsidRPr="008F50FD">
          <w:rPr>
            <w:rStyle w:val="Hyperlink"/>
            <w:rFonts w:hint="cs"/>
            <w:rtl/>
          </w:rPr>
          <w:t>ج</w:t>
        </w:r>
        <w:r w:rsidRPr="008F50FD">
          <w:rPr>
            <w:rStyle w:val="Hyperlink"/>
            <w:rtl/>
          </w:rPr>
          <w:t>1</w:t>
        </w:r>
        <w:r w:rsidRPr="008F50FD">
          <w:rPr>
            <w:rStyle w:val="Hyperlink"/>
            <w:rFonts w:hint="cs"/>
            <w:rtl/>
          </w:rPr>
          <w:t>،</w:t>
        </w:r>
        <w:r w:rsidRPr="008F50FD">
          <w:rPr>
            <w:rStyle w:val="Hyperlink"/>
            <w:rtl/>
          </w:rPr>
          <w:t xml:space="preserve"> </w:t>
        </w:r>
        <w:r w:rsidRPr="008F50FD">
          <w:rPr>
            <w:rStyle w:val="Hyperlink"/>
            <w:rFonts w:hint="cs"/>
            <w:rtl/>
          </w:rPr>
          <w:t>ص</w:t>
        </w:r>
        <w:r w:rsidRPr="008F50FD">
          <w:rPr>
            <w:rStyle w:val="Hyperlink"/>
            <w:rtl/>
          </w:rPr>
          <w:t>156</w:t>
        </w:r>
        <w:r w:rsidRPr="008F50FD">
          <w:rPr>
            <w:rStyle w:val="Hyperlink"/>
          </w:rPr>
          <w:t>.</w:t>
        </w:r>
      </w:hyperlink>
      <w:r>
        <w:rPr>
          <w:rFonts w:hint="cs"/>
          <w:rtl/>
        </w:rPr>
        <w:t>؛ فقیه، ج۲، ص۳۵، هدایة، ص۱۷۰.</w:t>
      </w:r>
    </w:p>
  </w:footnote>
  <w:footnote w:id="3">
    <w:p w:rsidR="008F50FD" w:rsidRDefault="008F50FD" w:rsidP="008F50FD">
      <w:pPr>
        <w:pStyle w:val="FootnoteText"/>
      </w:pPr>
      <w:r>
        <w:rPr>
          <w:rStyle w:val="FootnoteReference"/>
        </w:rPr>
        <w:footnoteRef/>
      </w:r>
      <w:r>
        <w:rPr>
          <w:rtl/>
        </w:rPr>
        <w:t xml:space="preserve"> </w:t>
      </w:r>
      <w:r>
        <w:rPr>
          <w:rFonts w:hint="cs"/>
          <w:rtl/>
        </w:rPr>
        <w:t xml:space="preserve">ینابیع، </w:t>
      </w:r>
      <w:r>
        <w:rPr>
          <w:rFonts w:hint="cs"/>
          <w:rtl/>
        </w:rPr>
        <w:t>ج۵، ص۹</w:t>
      </w:r>
    </w:p>
  </w:footnote>
  <w:footnote w:id="4">
    <w:p w:rsidR="008F50FD" w:rsidRDefault="008F50FD">
      <w:pPr>
        <w:pStyle w:val="FootnoteText"/>
      </w:pPr>
      <w:r>
        <w:rPr>
          <w:rStyle w:val="FootnoteReference"/>
        </w:rPr>
        <w:footnoteRef/>
      </w:r>
      <w:r>
        <w:rPr>
          <w:rtl/>
        </w:rPr>
        <w:t xml:space="preserve"> </w:t>
      </w:r>
      <w:r>
        <w:rPr>
          <w:rFonts w:hint="cs"/>
          <w:rtl/>
        </w:rPr>
        <w:t xml:space="preserve">ینابیع، </w:t>
      </w:r>
      <w:r>
        <w:rPr>
          <w:rFonts w:hint="cs"/>
          <w:rtl/>
        </w:rPr>
        <w:t>ج۵، ص۱۹</w:t>
      </w:r>
    </w:p>
  </w:footnote>
  <w:footnote w:id="5">
    <w:p w:rsidR="0082718F" w:rsidRDefault="0082718F">
      <w:pPr>
        <w:pStyle w:val="FootnoteText"/>
      </w:pPr>
      <w:r>
        <w:rPr>
          <w:rStyle w:val="FootnoteReference"/>
        </w:rPr>
        <w:footnoteRef/>
      </w:r>
      <w:r>
        <w:rPr>
          <w:rtl/>
        </w:rPr>
        <w:t xml:space="preserve"> </w:t>
      </w:r>
      <w:r w:rsidRPr="0082718F">
        <w:rPr>
          <w:rFonts w:hint="cs"/>
          <w:rtl/>
        </w:rPr>
        <w:t>الإشراف</w:t>
      </w:r>
      <w:r w:rsidRPr="0082718F">
        <w:rPr>
          <w:rtl/>
        </w:rPr>
        <w:t xml:space="preserve"> </w:t>
      </w:r>
      <w:r w:rsidRPr="0082718F">
        <w:rPr>
          <w:rFonts w:hint="cs"/>
          <w:rtl/>
        </w:rPr>
        <w:t>في</w:t>
      </w:r>
      <w:r w:rsidRPr="0082718F">
        <w:rPr>
          <w:rtl/>
        </w:rPr>
        <w:t xml:space="preserve"> </w:t>
      </w:r>
      <w:r w:rsidRPr="0082718F">
        <w:rPr>
          <w:rFonts w:hint="cs"/>
          <w:rtl/>
        </w:rPr>
        <w:t>عامة</w:t>
      </w:r>
      <w:r w:rsidRPr="0082718F">
        <w:rPr>
          <w:rtl/>
        </w:rPr>
        <w:t xml:space="preserve"> </w:t>
      </w:r>
      <w:r w:rsidRPr="0082718F">
        <w:rPr>
          <w:rFonts w:hint="cs"/>
          <w:rtl/>
        </w:rPr>
        <w:t>فرائض</w:t>
      </w:r>
      <w:r w:rsidRPr="0082718F">
        <w:rPr>
          <w:rtl/>
        </w:rPr>
        <w:t xml:space="preserve"> </w:t>
      </w:r>
      <w:r w:rsidRPr="0082718F">
        <w:rPr>
          <w:rFonts w:hint="cs"/>
          <w:rtl/>
        </w:rPr>
        <w:t>أهل</w:t>
      </w:r>
      <w:r w:rsidRPr="0082718F">
        <w:rPr>
          <w:rtl/>
        </w:rPr>
        <w:t xml:space="preserve"> </w:t>
      </w:r>
      <w:r w:rsidRPr="0082718F">
        <w:rPr>
          <w:rFonts w:hint="cs"/>
          <w:rtl/>
        </w:rPr>
        <w:t>الإسلام،</w:t>
      </w:r>
      <w:r w:rsidRPr="0082718F">
        <w:rPr>
          <w:rtl/>
        </w:rPr>
        <w:t xml:space="preserve"> </w:t>
      </w:r>
      <w:r w:rsidRPr="0082718F">
        <w:rPr>
          <w:rFonts w:hint="cs"/>
          <w:rtl/>
        </w:rPr>
        <w:t>ص</w:t>
      </w:r>
      <w:r w:rsidRPr="0082718F">
        <w:rPr>
          <w:rtl/>
        </w:rPr>
        <w:t>: 36‌</w:t>
      </w:r>
    </w:p>
  </w:footnote>
  <w:footnote w:id="6">
    <w:p w:rsidR="0082718F" w:rsidRPr="0082718F" w:rsidRDefault="0082718F" w:rsidP="0082718F">
      <w:pPr>
        <w:pStyle w:val="FootnoteText"/>
      </w:pPr>
      <w:r w:rsidRPr="0082718F">
        <w:footnoteRef/>
      </w:r>
      <w:r w:rsidRPr="0082718F">
        <w:rPr>
          <w:rtl/>
        </w:rPr>
        <w:t xml:space="preserve"> </w:t>
      </w:r>
      <w:hyperlink r:id="rId2" w:history="1">
        <w:r w:rsidRPr="0082718F">
          <w:rPr>
            <w:rStyle w:val="Hyperlink"/>
            <w:rFonts w:hint="cs"/>
            <w:rtl/>
          </w:rPr>
          <w:t>المقنعه،</w:t>
        </w:r>
        <w:r w:rsidRPr="0082718F">
          <w:rPr>
            <w:rStyle w:val="Hyperlink"/>
            <w:rtl/>
          </w:rPr>
          <w:t xml:space="preserve"> </w:t>
        </w:r>
        <w:r w:rsidRPr="0082718F">
          <w:rPr>
            <w:rStyle w:val="Hyperlink"/>
            <w:rFonts w:hint="cs"/>
            <w:rtl/>
          </w:rPr>
          <w:t>شیخ</w:t>
        </w:r>
        <w:r w:rsidRPr="0082718F">
          <w:rPr>
            <w:rStyle w:val="Hyperlink"/>
            <w:rtl/>
          </w:rPr>
          <w:t xml:space="preserve"> </w:t>
        </w:r>
        <w:r w:rsidRPr="0082718F">
          <w:rPr>
            <w:rStyle w:val="Hyperlink"/>
            <w:rFonts w:hint="cs"/>
            <w:rtl/>
          </w:rPr>
          <w:t>مفید،</w:t>
        </w:r>
        <w:r w:rsidRPr="0082718F">
          <w:rPr>
            <w:rStyle w:val="Hyperlink"/>
            <w:rtl/>
          </w:rPr>
          <w:t xml:space="preserve"> </w:t>
        </w:r>
        <w:r w:rsidRPr="0082718F">
          <w:rPr>
            <w:rStyle w:val="Hyperlink"/>
            <w:rFonts w:hint="cs"/>
            <w:rtl/>
          </w:rPr>
          <w:t>ص</w:t>
        </w:r>
        <w:r w:rsidRPr="0082718F">
          <w:rPr>
            <w:rStyle w:val="Hyperlink"/>
            <w:rtl/>
          </w:rPr>
          <w:t>239</w:t>
        </w:r>
        <w:r w:rsidRPr="0082718F">
          <w:rPr>
            <w:rStyle w:val="Hyperlink"/>
          </w:rPr>
          <w:t>.</w:t>
        </w:r>
      </w:hyperlink>
    </w:p>
  </w:footnote>
  <w:footnote w:id="7">
    <w:p w:rsidR="00704102" w:rsidRPr="00704102" w:rsidRDefault="00704102" w:rsidP="00704102">
      <w:pPr>
        <w:pStyle w:val="FootnoteText"/>
      </w:pPr>
      <w:r w:rsidRPr="00704102">
        <w:footnoteRef/>
      </w:r>
      <w:r w:rsidRPr="00704102">
        <w:rPr>
          <w:rtl/>
        </w:rPr>
        <w:t xml:space="preserve"> </w:t>
      </w:r>
      <w:hyperlink r:id="rId3" w:history="1">
        <w:r w:rsidRPr="00704102">
          <w:rPr>
            <w:rStyle w:val="Hyperlink"/>
            <w:rFonts w:hint="cs"/>
            <w:rtl/>
          </w:rPr>
          <w:t>النهایة</w:t>
        </w:r>
        <w:r w:rsidRPr="00704102">
          <w:rPr>
            <w:rStyle w:val="Hyperlink"/>
            <w:rtl/>
          </w:rPr>
          <w:t xml:space="preserve"> </w:t>
        </w:r>
        <w:r w:rsidRPr="00704102">
          <w:rPr>
            <w:rStyle w:val="Hyperlink"/>
            <w:rFonts w:hint="cs"/>
            <w:rtl/>
          </w:rPr>
          <w:t>فی</w:t>
        </w:r>
        <w:r w:rsidRPr="00704102">
          <w:rPr>
            <w:rStyle w:val="Hyperlink"/>
            <w:rtl/>
          </w:rPr>
          <w:t xml:space="preserve"> </w:t>
        </w:r>
        <w:r w:rsidRPr="00704102">
          <w:rPr>
            <w:rStyle w:val="Hyperlink"/>
            <w:rFonts w:hint="cs"/>
            <w:rtl/>
          </w:rPr>
          <w:t>مجرد</w:t>
        </w:r>
        <w:r w:rsidRPr="00704102">
          <w:rPr>
            <w:rStyle w:val="Hyperlink"/>
            <w:rtl/>
          </w:rPr>
          <w:t xml:space="preserve"> </w:t>
        </w:r>
        <w:r w:rsidRPr="00704102">
          <w:rPr>
            <w:rStyle w:val="Hyperlink"/>
            <w:rFonts w:hint="cs"/>
            <w:rtl/>
          </w:rPr>
          <w:t>الفقه</w:t>
        </w:r>
        <w:r w:rsidRPr="00704102">
          <w:rPr>
            <w:rStyle w:val="Hyperlink"/>
            <w:rtl/>
          </w:rPr>
          <w:t xml:space="preserve"> </w:t>
        </w:r>
        <w:r w:rsidRPr="00704102">
          <w:rPr>
            <w:rStyle w:val="Hyperlink"/>
            <w:rFonts w:hint="cs"/>
            <w:rtl/>
          </w:rPr>
          <w:t>و</w:t>
        </w:r>
        <w:r w:rsidRPr="00704102">
          <w:rPr>
            <w:rStyle w:val="Hyperlink"/>
            <w:rtl/>
          </w:rPr>
          <w:t xml:space="preserve"> </w:t>
        </w:r>
        <w:r w:rsidRPr="00704102">
          <w:rPr>
            <w:rStyle w:val="Hyperlink"/>
            <w:rFonts w:hint="cs"/>
            <w:rtl/>
          </w:rPr>
          <w:t>الفتوی،</w:t>
        </w:r>
        <w:r w:rsidRPr="00704102">
          <w:rPr>
            <w:rStyle w:val="Hyperlink"/>
            <w:rtl/>
          </w:rPr>
          <w:t xml:space="preserve"> </w:t>
        </w:r>
        <w:r w:rsidRPr="00704102">
          <w:rPr>
            <w:rStyle w:val="Hyperlink"/>
            <w:rFonts w:hint="cs"/>
            <w:rtl/>
          </w:rPr>
          <w:t>شیخ</w:t>
        </w:r>
        <w:r w:rsidRPr="00704102">
          <w:rPr>
            <w:rStyle w:val="Hyperlink"/>
            <w:rtl/>
          </w:rPr>
          <w:t xml:space="preserve"> </w:t>
        </w:r>
        <w:r w:rsidRPr="00704102">
          <w:rPr>
            <w:rStyle w:val="Hyperlink"/>
            <w:rFonts w:hint="cs"/>
            <w:rtl/>
          </w:rPr>
          <w:t>طوسی،</w:t>
        </w:r>
        <w:r w:rsidRPr="00704102">
          <w:rPr>
            <w:rStyle w:val="Hyperlink"/>
            <w:rtl/>
          </w:rPr>
          <w:t xml:space="preserve"> </w:t>
        </w:r>
        <w:r w:rsidRPr="00704102">
          <w:rPr>
            <w:rStyle w:val="Hyperlink"/>
            <w:rFonts w:hint="cs"/>
            <w:rtl/>
          </w:rPr>
          <w:t>ص</w:t>
        </w:r>
        <w:r w:rsidRPr="00704102">
          <w:rPr>
            <w:rStyle w:val="Hyperlink"/>
            <w:rtl/>
          </w:rPr>
          <w:t>178</w:t>
        </w:r>
        <w:r w:rsidRPr="00704102">
          <w:rPr>
            <w:rStyle w:val="Hyperlink"/>
          </w:rPr>
          <w:t>.</w:t>
        </w:r>
      </w:hyperlink>
    </w:p>
  </w:footnote>
  <w:footnote w:id="8">
    <w:p w:rsidR="00704102" w:rsidRPr="00704102" w:rsidRDefault="00704102" w:rsidP="00704102">
      <w:pPr>
        <w:pStyle w:val="FootnoteText"/>
      </w:pPr>
      <w:r w:rsidRPr="00704102">
        <w:footnoteRef/>
      </w:r>
      <w:r w:rsidRPr="00704102">
        <w:rPr>
          <w:rtl/>
        </w:rPr>
        <w:t xml:space="preserve"> </w:t>
      </w:r>
      <w:hyperlink r:id="rId4" w:history="1">
        <w:r w:rsidRPr="00704102">
          <w:rPr>
            <w:rStyle w:val="Hyperlink"/>
            <w:rFonts w:hint="cs"/>
            <w:rtl/>
          </w:rPr>
          <w:t>الخلاف،</w:t>
        </w:r>
        <w:r w:rsidRPr="00704102">
          <w:rPr>
            <w:rStyle w:val="Hyperlink"/>
            <w:rtl/>
          </w:rPr>
          <w:t xml:space="preserve"> </w:t>
        </w:r>
        <w:r w:rsidRPr="00704102">
          <w:rPr>
            <w:rStyle w:val="Hyperlink"/>
            <w:rFonts w:hint="cs"/>
            <w:rtl/>
          </w:rPr>
          <w:t>شیخ</w:t>
        </w:r>
        <w:r w:rsidRPr="00704102">
          <w:rPr>
            <w:rStyle w:val="Hyperlink"/>
            <w:rtl/>
          </w:rPr>
          <w:t xml:space="preserve"> </w:t>
        </w:r>
        <w:r w:rsidRPr="00704102">
          <w:rPr>
            <w:rStyle w:val="Hyperlink"/>
            <w:rFonts w:hint="cs"/>
            <w:rtl/>
          </w:rPr>
          <w:t>طوسی،</w:t>
        </w:r>
        <w:r w:rsidRPr="00704102">
          <w:rPr>
            <w:rStyle w:val="Hyperlink"/>
            <w:rtl/>
          </w:rPr>
          <w:t xml:space="preserve"> </w:t>
        </w:r>
        <w:r w:rsidRPr="00704102">
          <w:rPr>
            <w:rStyle w:val="Hyperlink"/>
            <w:rFonts w:hint="cs"/>
            <w:rtl/>
          </w:rPr>
          <w:t>ج</w:t>
        </w:r>
        <w:r w:rsidRPr="00704102">
          <w:rPr>
            <w:rStyle w:val="Hyperlink"/>
            <w:rtl/>
          </w:rPr>
          <w:t>2</w:t>
        </w:r>
        <w:r w:rsidRPr="00704102">
          <w:rPr>
            <w:rStyle w:val="Hyperlink"/>
            <w:rFonts w:hint="cs"/>
            <w:rtl/>
          </w:rPr>
          <w:t>،</w:t>
        </w:r>
        <w:r w:rsidRPr="00704102">
          <w:rPr>
            <w:rStyle w:val="Hyperlink"/>
            <w:rtl/>
          </w:rPr>
          <w:t xml:space="preserve"> </w:t>
        </w:r>
        <w:r w:rsidRPr="00704102">
          <w:rPr>
            <w:rStyle w:val="Hyperlink"/>
            <w:rFonts w:hint="cs"/>
            <w:rtl/>
          </w:rPr>
          <w:t>ص</w:t>
        </w:r>
        <w:r w:rsidRPr="00704102">
          <w:rPr>
            <w:rStyle w:val="Hyperlink"/>
            <w:rtl/>
          </w:rPr>
          <w:t>67</w:t>
        </w:r>
        <w:r w:rsidRPr="00704102">
          <w:rPr>
            <w:rStyle w:val="Hyperlink"/>
          </w:rPr>
          <w:t>.</w:t>
        </w:r>
      </w:hyperlink>
    </w:p>
  </w:footnote>
  <w:footnote w:id="9">
    <w:p w:rsidR="00BC445F" w:rsidRPr="00BC445F" w:rsidRDefault="00BC445F" w:rsidP="00BC445F">
      <w:pPr>
        <w:pStyle w:val="FootnoteText"/>
      </w:pPr>
      <w:r w:rsidRPr="00BC445F">
        <w:footnoteRef/>
      </w:r>
      <w:r w:rsidRPr="00BC445F">
        <w:rPr>
          <w:rtl/>
        </w:rPr>
        <w:t xml:space="preserve"> </w:t>
      </w:r>
      <w:hyperlink r:id="rId5" w:history="1">
        <w:r w:rsidRPr="00BC445F">
          <w:rPr>
            <w:rStyle w:val="Hyperlink"/>
            <w:rFonts w:hint="cs"/>
            <w:rtl/>
          </w:rPr>
          <w:t>المبسوط</w:t>
        </w:r>
        <w:r w:rsidRPr="00BC445F">
          <w:rPr>
            <w:rStyle w:val="Hyperlink"/>
            <w:rtl/>
          </w:rPr>
          <w:t xml:space="preserve"> </w:t>
        </w:r>
        <w:r w:rsidRPr="00BC445F">
          <w:rPr>
            <w:rStyle w:val="Hyperlink"/>
            <w:rFonts w:hint="cs"/>
            <w:rtl/>
          </w:rPr>
          <w:t>فی</w:t>
        </w:r>
        <w:r w:rsidRPr="00BC445F">
          <w:rPr>
            <w:rStyle w:val="Hyperlink"/>
            <w:rtl/>
          </w:rPr>
          <w:t xml:space="preserve"> </w:t>
        </w:r>
        <w:r w:rsidRPr="00BC445F">
          <w:rPr>
            <w:rStyle w:val="Hyperlink"/>
            <w:rFonts w:hint="cs"/>
            <w:rtl/>
          </w:rPr>
          <w:t>فقه</w:t>
        </w:r>
        <w:r w:rsidRPr="00BC445F">
          <w:rPr>
            <w:rStyle w:val="Hyperlink"/>
            <w:rtl/>
          </w:rPr>
          <w:t xml:space="preserve"> </w:t>
        </w:r>
        <w:r w:rsidRPr="00BC445F">
          <w:rPr>
            <w:rStyle w:val="Hyperlink"/>
            <w:rFonts w:hint="cs"/>
            <w:rtl/>
          </w:rPr>
          <w:t>الإمامیة،</w:t>
        </w:r>
        <w:r w:rsidRPr="00BC445F">
          <w:rPr>
            <w:rStyle w:val="Hyperlink"/>
            <w:rtl/>
          </w:rPr>
          <w:t xml:space="preserve"> </w:t>
        </w:r>
        <w:r w:rsidRPr="00BC445F">
          <w:rPr>
            <w:rStyle w:val="Hyperlink"/>
            <w:rFonts w:hint="cs"/>
            <w:rtl/>
          </w:rPr>
          <w:t>شیخ</w:t>
        </w:r>
        <w:r w:rsidRPr="00BC445F">
          <w:rPr>
            <w:rStyle w:val="Hyperlink"/>
            <w:rtl/>
          </w:rPr>
          <w:t xml:space="preserve"> </w:t>
        </w:r>
        <w:r w:rsidRPr="00BC445F">
          <w:rPr>
            <w:rStyle w:val="Hyperlink"/>
            <w:rFonts w:hint="cs"/>
            <w:rtl/>
          </w:rPr>
          <w:t>طوسی،</w:t>
        </w:r>
        <w:r w:rsidRPr="00BC445F">
          <w:rPr>
            <w:rStyle w:val="Hyperlink"/>
            <w:rtl/>
          </w:rPr>
          <w:t xml:space="preserve"> </w:t>
        </w:r>
        <w:r w:rsidRPr="00BC445F">
          <w:rPr>
            <w:rStyle w:val="Hyperlink"/>
            <w:rFonts w:hint="cs"/>
            <w:rtl/>
          </w:rPr>
          <w:t>ج</w:t>
        </w:r>
        <w:r w:rsidRPr="00BC445F">
          <w:rPr>
            <w:rStyle w:val="Hyperlink"/>
            <w:rtl/>
          </w:rPr>
          <w:t>1</w:t>
        </w:r>
        <w:r w:rsidRPr="00BC445F">
          <w:rPr>
            <w:rStyle w:val="Hyperlink"/>
            <w:rFonts w:hint="cs"/>
            <w:rtl/>
          </w:rPr>
          <w:t>،</w:t>
        </w:r>
        <w:r w:rsidRPr="00BC445F">
          <w:rPr>
            <w:rStyle w:val="Hyperlink"/>
            <w:rtl/>
          </w:rPr>
          <w:t xml:space="preserve"> </w:t>
        </w:r>
        <w:r w:rsidRPr="00BC445F">
          <w:rPr>
            <w:rStyle w:val="Hyperlink"/>
            <w:rFonts w:hint="cs"/>
            <w:rtl/>
          </w:rPr>
          <w:t>ص</w:t>
        </w:r>
        <w:r w:rsidRPr="00BC445F">
          <w:rPr>
            <w:rStyle w:val="Hyperlink"/>
            <w:rtl/>
          </w:rPr>
          <w:t>214</w:t>
        </w:r>
        <w:r w:rsidRPr="00BC445F">
          <w:rPr>
            <w:rStyle w:val="Hyperlink"/>
          </w:rPr>
          <w:t>.</w:t>
        </w:r>
      </w:hyperlink>
    </w:p>
  </w:footnote>
  <w:footnote w:id="10">
    <w:p w:rsidR="00BC445F" w:rsidRDefault="00BC445F">
      <w:pPr>
        <w:pStyle w:val="FootnoteText"/>
      </w:pPr>
      <w:r>
        <w:rPr>
          <w:rStyle w:val="FootnoteReference"/>
        </w:rPr>
        <w:footnoteRef/>
      </w:r>
      <w:r>
        <w:rPr>
          <w:rtl/>
        </w:rPr>
        <w:t xml:space="preserve"> </w:t>
      </w:r>
      <w:r w:rsidRPr="00BC445F">
        <w:rPr>
          <w:rFonts w:hint="cs"/>
          <w:rtl/>
        </w:rPr>
        <w:t>ینابیع،</w:t>
      </w:r>
      <w:r w:rsidRPr="00BC445F">
        <w:rPr>
          <w:rtl/>
        </w:rPr>
        <w:t xml:space="preserve"> </w:t>
      </w:r>
      <w:r w:rsidRPr="00BC445F">
        <w:rPr>
          <w:rFonts w:hint="cs"/>
          <w:rtl/>
        </w:rPr>
        <w:t>ج</w:t>
      </w:r>
      <w:r w:rsidRPr="00BC445F">
        <w:rPr>
          <w:rtl/>
        </w:rPr>
        <w:t>۲۸</w:t>
      </w:r>
      <w:r w:rsidRPr="00BC445F">
        <w:rPr>
          <w:rFonts w:hint="cs"/>
          <w:rtl/>
        </w:rPr>
        <w:t>،</w:t>
      </w:r>
      <w:r w:rsidRPr="00BC445F">
        <w:rPr>
          <w:rtl/>
        </w:rPr>
        <w:t xml:space="preserve"> </w:t>
      </w:r>
      <w:r w:rsidRPr="00BC445F">
        <w:rPr>
          <w:rFonts w:hint="cs"/>
          <w:rtl/>
        </w:rPr>
        <w:t>ص</w:t>
      </w:r>
      <w:r w:rsidRPr="00BC445F">
        <w:rPr>
          <w:rtl/>
        </w:rPr>
        <w:t>۱۵۶</w:t>
      </w:r>
    </w:p>
  </w:footnote>
  <w:footnote w:id="11">
    <w:p w:rsidR="002E09E2" w:rsidRPr="002E09E2" w:rsidRDefault="002E09E2" w:rsidP="002E09E2">
      <w:pPr>
        <w:pStyle w:val="FootnoteText"/>
      </w:pPr>
      <w:r w:rsidRPr="002E09E2">
        <w:footnoteRef/>
      </w:r>
      <w:r w:rsidRPr="002E09E2">
        <w:rPr>
          <w:rtl/>
        </w:rPr>
        <w:t xml:space="preserve"> </w:t>
      </w:r>
      <w:hyperlink r:id="rId6" w:history="1">
        <w:r w:rsidRPr="002E09E2">
          <w:rPr>
            <w:rStyle w:val="Hyperlink"/>
            <w:rFonts w:hint="cs"/>
            <w:rtl/>
          </w:rPr>
          <w:t>المبسوط</w:t>
        </w:r>
        <w:r w:rsidRPr="002E09E2">
          <w:rPr>
            <w:rStyle w:val="Hyperlink"/>
            <w:rtl/>
          </w:rPr>
          <w:t xml:space="preserve"> </w:t>
        </w:r>
        <w:r w:rsidRPr="002E09E2">
          <w:rPr>
            <w:rStyle w:val="Hyperlink"/>
            <w:rFonts w:hint="cs"/>
            <w:rtl/>
          </w:rPr>
          <w:t>فی</w:t>
        </w:r>
        <w:r w:rsidRPr="002E09E2">
          <w:rPr>
            <w:rStyle w:val="Hyperlink"/>
            <w:rtl/>
          </w:rPr>
          <w:t xml:space="preserve"> </w:t>
        </w:r>
        <w:r w:rsidRPr="002E09E2">
          <w:rPr>
            <w:rStyle w:val="Hyperlink"/>
            <w:rFonts w:hint="cs"/>
            <w:rtl/>
          </w:rPr>
          <w:t>فقه</w:t>
        </w:r>
        <w:r w:rsidRPr="002E09E2">
          <w:rPr>
            <w:rStyle w:val="Hyperlink"/>
            <w:rtl/>
          </w:rPr>
          <w:t xml:space="preserve"> </w:t>
        </w:r>
        <w:r w:rsidRPr="002E09E2">
          <w:rPr>
            <w:rStyle w:val="Hyperlink"/>
            <w:rFonts w:hint="cs"/>
            <w:rtl/>
          </w:rPr>
          <w:t>الإمامیة،</w:t>
        </w:r>
        <w:r w:rsidRPr="002E09E2">
          <w:rPr>
            <w:rStyle w:val="Hyperlink"/>
            <w:rtl/>
          </w:rPr>
          <w:t xml:space="preserve"> </w:t>
        </w:r>
        <w:r w:rsidRPr="002E09E2">
          <w:rPr>
            <w:rStyle w:val="Hyperlink"/>
            <w:rFonts w:hint="cs"/>
            <w:rtl/>
          </w:rPr>
          <w:t>شیخ</w:t>
        </w:r>
        <w:r w:rsidRPr="002E09E2">
          <w:rPr>
            <w:rStyle w:val="Hyperlink"/>
            <w:rtl/>
          </w:rPr>
          <w:t xml:space="preserve"> </w:t>
        </w:r>
        <w:r w:rsidRPr="002E09E2">
          <w:rPr>
            <w:rStyle w:val="Hyperlink"/>
            <w:rFonts w:hint="cs"/>
            <w:rtl/>
          </w:rPr>
          <w:t>طوسی،</w:t>
        </w:r>
        <w:r w:rsidRPr="002E09E2">
          <w:rPr>
            <w:rStyle w:val="Hyperlink"/>
            <w:rtl/>
          </w:rPr>
          <w:t xml:space="preserve"> </w:t>
        </w:r>
        <w:r w:rsidRPr="002E09E2">
          <w:rPr>
            <w:rStyle w:val="Hyperlink"/>
            <w:rFonts w:hint="cs"/>
            <w:rtl/>
          </w:rPr>
          <w:t>ج</w:t>
        </w:r>
        <w:r w:rsidRPr="002E09E2">
          <w:rPr>
            <w:rStyle w:val="Hyperlink"/>
            <w:rtl/>
          </w:rPr>
          <w:t>1</w:t>
        </w:r>
        <w:r w:rsidRPr="002E09E2">
          <w:rPr>
            <w:rStyle w:val="Hyperlink"/>
            <w:rFonts w:hint="cs"/>
            <w:rtl/>
          </w:rPr>
          <w:t>،</w:t>
        </w:r>
        <w:r w:rsidRPr="002E09E2">
          <w:rPr>
            <w:rStyle w:val="Hyperlink"/>
            <w:rtl/>
          </w:rPr>
          <w:t xml:space="preserve"> </w:t>
        </w:r>
        <w:r w:rsidRPr="002E09E2">
          <w:rPr>
            <w:rStyle w:val="Hyperlink"/>
            <w:rFonts w:hint="cs"/>
            <w:rtl/>
          </w:rPr>
          <w:t>ص</w:t>
        </w:r>
        <w:r w:rsidRPr="002E09E2">
          <w:rPr>
            <w:rStyle w:val="Hyperlink"/>
            <w:rtl/>
          </w:rPr>
          <w:t>218</w:t>
        </w:r>
        <w:r w:rsidRPr="002E09E2">
          <w:rPr>
            <w:rStyle w:val="Hyperlink"/>
          </w:rPr>
          <w:t>.</w:t>
        </w:r>
      </w:hyperlink>
      <w:r>
        <w:rPr>
          <w:rFonts w:hint="cs"/>
          <w:rtl/>
        </w:rPr>
        <w:t xml:space="preserve">؛ </w:t>
      </w:r>
      <w:r w:rsidRPr="00BC445F">
        <w:rPr>
          <w:rFonts w:hint="cs"/>
          <w:rtl/>
        </w:rPr>
        <w:t>ینابیع،</w:t>
      </w:r>
      <w:r w:rsidRPr="00BC445F">
        <w:rPr>
          <w:rtl/>
        </w:rPr>
        <w:t xml:space="preserve"> </w:t>
      </w:r>
      <w:r w:rsidRPr="00BC445F">
        <w:rPr>
          <w:rFonts w:hint="cs"/>
          <w:rtl/>
        </w:rPr>
        <w:t>ج</w:t>
      </w:r>
      <w:r w:rsidRPr="00BC445F">
        <w:rPr>
          <w:rtl/>
        </w:rPr>
        <w:t>۲۸</w:t>
      </w:r>
      <w:r w:rsidRPr="00BC445F">
        <w:rPr>
          <w:rFonts w:hint="cs"/>
          <w:rtl/>
        </w:rPr>
        <w:t>،</w:t>
      </w:r>
      <w:r w:rsidRPr="00BC445F">
        <w:rPr>
          <w:rtl/>
        </w:rPr>
        <w:t xml:space="preserve"> </w:t>
      </w:r>
      <w:r w:rsidRPr="00BC445F">
        <w:rPr>
          <w:rFonts w:hint="cs"/>
          <w:rtl/>
        </w:rPr>
        <w:t>ص</w:t>
      </w:r>
      <w:r>
        <w:rPr>
          <w:rtl/>
        </w:rPr>
        <w:t>۱</w:t>
      </w:r>
      <w:r>
        <w:rPr>
          <w:rFonts w:hint="cs"/>
          <w:rtl/>
        </w:rPr>
        <w:t>۶۰</w:t>
      </w:r>
    </w:p>
  </w:footnote>
  <w:footnote w:id="12">
    <w:p w:rsidR="001D1314" w:rsidRDefault="001D1314">
      <w:pPr>
        <w:pStyle w:val="FootnoteText"/>
      </w:pPr>
      <w:r>
        <w:rPr>
          <w:rStyle w:val="FootnoteReference"/>
        </w:rPr>
        <w:footnoteRef/>
      </w:r>
      <w:r>
        <w:rPr>
          <w:rtl/>
        </w:rPr>
        <w:t xml:space="preserve"> </w:t>
      </w:r>
      <w:r w:rsidRPr="001D1314">
        <w:rPr>
          <w:rFonts w:hint="cs"/>
          <w:rtl/>
        </w:rPr>
        <w:t>الاقتصاد</w:t>
      </w:r>
      <w:r w:rsidRPr="001D1314">
        <w:rPr>
          <w:rtl/>
        </w:rPr>
        <w:t xml:space="preserve"> </w:t>
      </w:r>
      <w:r w:rsidRPr="001D1314">
        <w:rPr>
          <w:rFonts w:hint="cs"/>
          <w:rtl/>
        </w:rPr>
        <w:t>الهادي</w:t>
      </w:r>
      <w:r w:rsidRPr="001D1314">
        <w:rPr>
          <w:rtl/>
        </w:rPr>
        <w:t xml:space="preserve"> </w:t>
      </w:r>
      <w:r w:rsidRPr="001D1314">
        <w:rPr>
          <w:rFonts w:hint="cs"/>
          <w:rtl/>
        </w:rPr>
        <w:t>إلى</w:t>
      </w:r>
      <w:r w:rsidRPr="001D1314">
        <w:rPr>
          <w:rtl/>
        </w:rPr>
        <w:t xml:space="preserve"> </w:t>
      </w:r>
      <w:r w:rsidRPr="001D1314">
        <w:rPr>
          <w:rFonts w:hint="cs"/>
          <w:rtl/>
        </w:rPr>
        <w:t>طريق</w:t>
      </w:r>
      <w:r w:rsidRPr="001D1314">
        <w:rPr>
          <w:rtl/>
        </w:rPr>
        <w:t xml:space="preserve"> </w:t>
      </w:r>
      <w:r w:rsidRPr="001D1314">
        <w:rPr>
          <w:rFonts w:hint="cs"/>
          <w:rtl/>
        </w:rPr>
        <w:t>الرشاد</w:t>
      </w:r>
      <w:r w:rsidRPr="001D1314">
        <w:rPr>
          <w:rtl/>
        </w:rPr>
        <w:t xml:space="preserve"> (</w:t>
      </w:r>
      <w:r w:rsidRPr="001D1314">
        <w:rPr>
          <w:rFonts w:hint="cs"/>
          <w:rtl/>
        </w:rPr>
        <w:t>للشيخ</w:t>
      </w:r>
      <w:r w:rsidRPr="001D1314">
        <w:rPr>
          <w:rtl/>
        </w:rPr>
        <w:t xml:space="preserve"> </w:t>
      </w:r>
      <w:r w:rsidRPr="001D1314">
        <w:rPr>
          <w:rFonts w:hint="cs"/>
          <w:rtl/>
        </w:rPr>
        <w:t>الطوسي</w:t>
      </w:r>
      <w:r w:rsidRPr="001D1314">
        <w:rPr>
          <w:rtl/>
        </w:rPr>
        <w:t>)</w:t>
      </w:r>
      <w:r w:rsidRPr="001D1314">
        <w:rPr>
          <w:rFonts w:hint="cs"/>
          <w:rtl/>
        </w:rPr>
        <w:t>،</w:t>
      </w:r>
      <w:r w:rsidRPr="001D1314">
        <w:rPr>
          <w:rtl/>
        </w:rPr>
        <w:t xml:space="preserve"> </w:t>
      </w:r>
      <w:r w:rsidRPr="001D1314">
        <w:rPr>
          <w:rFonts w:hint="cs"/>
          <w:rtl/>
        </w:rPr>
        <w:t>ص</w:t>
      </w:r>
      <w:r w:rsidRPr="001D1314">
        <w:rPr>
          <w:rtl/>
        </w:rPr>
        <w:t>: 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B3" w:rsidRDefault="002203B3">
    <w:pPr>
      <w:pStyle w:val="Header"/>
    </w:pPr>
  </w:p>
  <w:p w:rsidR="002203B3" w:rsidRDefault="002203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B3" w:rsidRPr="001D2E9A" w:rsidRDefault="002203B3" w:rsidP="002128B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7" w:name="BokNum"/>
    <w:bookmarkEnd w:id="17"/>
    <w:r w:rsidR="00C03F30">
      <w:rPr>
        <w:rFonts w:hint="cs"/>
        <w:b/>
        <w:bCs/>
        <w:sz w:val="20"/>
        <w:szCs w:val="24"/>
        <w:rtl/>
      </w:rPr>
      <w:t>۱۰</w:t>
    </w:r>
    <w:r w:rsidR="002128B6">
      <w:rPr>
        <w:rFonts w:hint="cs"/>
        <w:b/>
        <w:bCs/>
        <w:sz w:val="20"/>
        <w:szCs w:val="24"/>
        <w:rtl/>
      </w:rPr>
      <w:t>۴</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9" w:name="Bokostad"/>
    <w:bookmarkEnd w:id="1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sidR="002128B6">
      <w:rPr>
        <w:rFonts w:hint="cs"/>
        <w:sz w:val="24"/>
        <w:szCs w:val="24"/>
        <w:rtl/>
      </w:rPr>
      <w:t>۱</w:t>
    </w:r>
    <w:r>
      <w:rPr>
        <w:sz w:val="24"/>
        <w:szCs w:val="24"/>
        <w:rtl/>
      </w:rPr>
      <w:t xml:space="preserve"> /</w:t>
    </w:r>
    <w:r w:rsidR="002128B6">
      <w:rPr>
        <w:rFonts w:hint="cs"/>
        <w:sz w:val="24"/>
        <w:szCs w:val="24"/>
        <w:rtl/>
      </w:rPr>
      <w:t>۲</w:t>
    </w:r>
    <w:r>
      <w:rPr>
        <w:sz w:val="24"/>
        <w:szCs w:val="24"/>
        <w:rtl/>
      </w:rPr>
      <w:t xml:space="preserve"> /140</w:t>
    </w:r>
    <w:r w:rsidR="00F411B4">
      <w:rPr>
        <w:rFonts w:hint="cs"/>
        <w:sz w:val="24"/>
        <w:szCs w:val="24"/>
        <w:rtl/>
      </w:rPr>
      <w:t>۴</w:t>
    </w:r>
  </w:p>
  <w:p w:rsidR="002203B3" w:rsidRPr="00F16B53" w:rsidRDefault="002203B3" w:rsidP="000D7224">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sidR="002D45F1">
      <w:rPr>
        <w:rFonts w:hint="cs"/>
        <w:color w:val="000000" w:themeColor="text1"/>
        <w:sz w:val="24"/>
        <w:szCs w:val="24"/>
        <w:rtl/>
      </w:rPr>
      <w:t>استثناء مئونه در</w:t>
    </w:r>
    <w:r>
      <w:rPr>
        <w:rFonts w:hint="cs"/>
        <w:color w:val="000000" w:themeColor="text1"/>
        <w:sz w:val="24"/>
        <w:szCs w:val="24"/>
        <w:rtl/>
      </w:rPr>
      <w:t xml:space="preserve">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22" w:name="Bokmoqarer"/>
    <w:bookmarkEnd w:id="22"/>
    <w:r>
      <w:rPr>
        <w:rFonts w:hint="cs"/>
        <w:sz w:val="24"/>
        <w:szCs w:val="24"/>
        <w:rtl/>
      </w:rPr>
      <w:t xml:space="preserve"> امیر حقیقی                             </w:t>
    </w:r>
    <w:r w:rsidRPr="001D2E9A">
      <w:rPr>
        <w:rFonts w:hint="cs"/>
        <w:b/>
        <w:bCs/>
        <w:color w:val="7030A0"/>
        <w:sz w:val="24"/>
        <w:szCs w:val="24"/>
        <w:rtl/>
      </w:rPr>
      <w:t>موضوع خاص</w:t>
    </w:r>
    <w:r>
      <w:rPr>
        <w:rFonts w:hint="cs"/>
        <w:sz w:val="24"/>
        <w:szCs w:val="24"/>
        <w:rtl/>
      </w:rPr>
      <w:t xml:space="preserve">: </w:t>
    </w:r>
    <w:bookmarkStart w:id="23" w:name="BokSabj2"/>
    <w:bookmarkEnd w:id="23"/>
    <w:r w:rsidR="000D7224">
      <w:rPr>
        <w:rFonts w:hint="cs"/>
        <w:sz w:val="24"/>
        <w:szCs w:val="24"/>
        <w:rtl/>
      </w:rPr>
      <w:t>عبارات علما در مساله</w:t>
    </w:r>
  </w:p>
  <w:p w:rsidR="002203B3" w:rsidRDefault="002203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1"/>
  </w:num>
  <w:num w:numId="14">
    <w:abstractNumId w:val="16"/>
  </w:num>
  <w:num w:numId="15">
    <w:abstractNumId w:val="17"/>
  </w:num>
  <w:num w:numId="16">
    <w:abstractNumId w:val="15"/>
  </w:num>
  <w:num w:numId="17">
    <w:abstractNumId w:val="20"/>
  </w:num>
  <w:num w:numId="18">
    <w:abstractNumId w:val="13"/>
  </w:num>
  <w:num w:numId="19">
    <w:abstractNumId w:val="11"/>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84D"/>
    <w:rsid w:val="00014C8C"/>
    <w:rsid w:val="00015AF0"/>
    <w:rsid w:val="000238DB"/>
    <w:rsid w:val="00025777"/>
    <w:rsid w:val="00025B70"/>
    <w:rsid w:val="00031910"/>
    <w:rsid w:val="000334E3"/>
    <w:rsid w:val="000353D7"/>
    <w:rsid w:val="00036865"/>
    <w:rsid w:val="00037A4B"/>
    <w:rsid w:val="00041F17"/>
    <w:rsid w:val="000428E0"/>
    <w:rsid w:val="0004612F"/>
    <w:rsid w:val="000472FE"/>
    <w:rsid w:val="00051845"/>
    <w:rsid w:val="00051A6C"/>
    <w:rsid w:val="000530AB"/>
    <w:rsid w:val="00054AE5"/>
    <w:rsid w:val="00055496"/>
    <w:rsid w:val="00055725"/>
    <w:rsid w:val="00057172"/>
    <w:rsid w:val="00060E1E"/>
    <w:rsid w:val="000703BE"/>
    <w:rsid w:val="00072681"/>
    <w:rsid w:val="00073550"/>
    <w:rsid w:val="00074524"/>
    <w:rsid w:val="00075248"/>
    <w:rsid w:val="00077CB6"/>
    <w:rsid w:val="000808A0"/>
    <w:rsid w:val="00080A41"/>
    <w:rsid w:val="00081255"/>
    <w:rsid w:val="00081AFD"/>
    <w:rsid w:val="0008299B"/>
    <w:rsid w:val="000847EF"/>
    <w:rsid w:val="000913AA"/>
    <w:rsid w:val="00091FD0"/>
    <w:rsid w:val="00094847"/>
    <w:rsid w:val="00094D3C"/>
    <w:rsid w:val="00096C63"/>
    <w:rsid w:val="000A0ADA"/>
    <w:rsid w:val="000A1DC8"/>
    <w:rsid w:val="000A2A5D"/>
    <w:rsid w:val="000A5889"/>
    <w:rsid w:val="000A7ACD"/>
    <w:rsid w:val="000B01A8"/>
    <w:rsid w:val="000B18D7"/>
    <w:rsid w:val="000B507A"/>
    <w:rsid w:val="000B5DB5"/>
    <w:rsid w:val="000C0DF5"/>
    <w:rsid w:val="000C10AF"/>
    <w:rsid w:val="000C3760"/>
    <w:rsid w:val="000C3947"/>
    <w:rsid w:val="000D0FFD"/>
    <w:rsid w:val="000D23DD"/>
    <w:rsid w:val="000D2A37"/>
    <w:rsid w:val="000D30E9"/>
    <w:rsid w:val="000D6818"/>
    <w:rsid w:val="000D7224"/>
    <w:rsid w:val="000E05FF"/>
    <w:rsid w:val="000E335E"/>
    <w:rsid w:val="000E39AA"/>
    <w:rsid w:val="000E3C7F"/>
    <w:rsid w:val="000E5BED"/>
    <w:rsid w:val="000E7934"/>
    <w:rsid w:val="000F0B24"/>
    <w:rsid w:val="000F16CF"/>
    <w:rsid w:val="000F527C"/>
    <w:rsid w:val="000F5297"/>
    <w:rsid w:val="000F5BAC"/>
    <w:rsid w:val="000F780E"/>
    <w:rsid w:val="00102585"/>
    <w:rsid w:val="00102DCC"/>
    <w:rsid w:val="001039E2"/>
    <w:rsid w:val="001054CB"/>
    <w:rsid w:val="00106BD4"/>
    <w:rsid w:val="00107629"/>
    <w:rsid w:val="001102DB"/>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32B9"/>
    <w:rsid w:val="00143848"/>
    <w:rsid w:val="001442FD"/>
    <w:rsid w:val="001474A5"/>
    <w:rsid w:val="00147CB4"/>
    <w:rsid w:val="00150892"/>
    <w:rsid w:val="00151937"/>
    <w:rsid w:val="00151B8F"/>
    <w:rsid w:val="00153914"/>
    <w:rsid w:val="00153A91"/>
    <w:rsid w:val="001573D0"/>
    <w:rsid w:val="001653C2"/>
    <w:rsid w:val="001658B1"/>
    <w:rsid w:val="0016703A"/>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B2488"/>
    <w:rsid w:val="001B2788"/>
    <w:rsid w:val="001B2CC0"/>
    <w:rsid w:val="001B3694"/>
    <w:rsid w:val="001B6799"/>
    <w:rsid w:val="001B70BA"/>
    <w:rsid w:val="001C05DD"/>
    <w:rsid w:val="001C0ADE"/>
    <w:rsid w:val="001C0D62"/>
    <w:rsid w:val="001C0F84"/>
    <w:rsid w:val="001C1362"/>
    <w:rsid w:val="001C1E5F"/>
    <w:rsid w:val="001C2BB7"/>
    <w:rsid w:val="001C30A5"/>
    <w:rsid w:val="001C6714"/>
    <w:rsid w:val="001C7E84"/>
    <w:rsid w:val="001D1314"/>
    <w:rsid w:val="001D2E9A"/>
    <w:rsid w:val="001D3546"/>
    <w:rsid w:val="001D597F"/>
    <w:rsid w:val="001D6B6C"/>
    <w:rsid w:val="001D76E0"/>
    <w:rsid w:val="001E1E2F"/>
    <w:rsid w:val="001E2599"/>
    <w:rsid w:val="001E3FD4"/>
    <w:rsid w:val="001E4C91"/>
    <w:rsid w:val="001E6EE5"/>
    <w:rsid w:val="001E7C6E"/>
    <w:rsid w:val="001F4B18"/>
    <w:rsid w:val="001F5C71"/>
    <w:rsid w:val="0020241A"/>
    <w:rsid w:val="00203821"/>
    <w:rsid w:val="0020393D"/>
    <w:rsid w:val="00203E9C"/>
    <w:rsid w:val="002047B2"/>
    <w:rsid w:val="00206FD5"/>
    <w:rsid w:val="00210ED8"/>
    <w:rsid w:val="00211632"/>
    <w:rsid w:val="002120D5"/>
    <w:rsid w:val="002128B6"/>
    <w:rsid w:val="00212BB4"/>
    <w:rsid w:val="00213944"/>
    <w:rsid w:val="00213E6B"/>
    <w:rsid w:val="00215246"/>
    <w:rsid w:val="0021630D"/>
    <w:rsid w:val="00216ACB"/>
    <w:rsid w:val="0022010B"/>
    <w:rsid w:val="002203B3"/>
    <w:rsid w:val="002203E4"/>
    <w:rsid w:val="00232BBA"/>
    <w:rsid w:val="00233A01"/>
    <w:rsid w:val="00233F0F"/>
    <w:rsid w:val="00237776"/>
    <w:rsid w:val="00240459"/>
    <w:rsid w:val="00240B2E"/>
    <w:rsid w:val="0024121B"/>
    <w:rsid w:val="002412C1"/>
    <w:rsid w:val="0024294F"/>
    <w:rsid w:val="00243212"/>
    <w:rsid w:val="0024455B"/>
    <w:rsid w:val="002453D8"/>
    <w:rsid w:val="00245EFA"/>
    <w:rsid w:val="00246428"/>
    <w:rsid w:val="00247D2F"/>
    <w:rsid w:val="00250711"/>
    <w:rsid w:val="00253512"/>
    <w:rsid w:val="00253A57"/>
    <w:rsid w:val="00256560"/>
    <w:rsid w:val="00257650"/>
    <w:rsid w:val="00257DD4"/>
    <w:rsid w:val="00260A50"/>
    <w:rsid w:val="00260CB0"/>
    <w:rsid w:val="002619F0"/>
    <w:rsid w:val="00261DFF"/>
    <w:rsid w:val="00261F52"/>
    <w:rsid w:val="002654A0"/>
    <w:rsid w:val="002660A9"/>
    <w:rsid w:val="00270DF7"/>
    <w:rsid w:val="00271626"/>
    <w:rsid w:val="0027373C"/>
    <w:rsid w:val="0027478E"/>
    <w:rsid w:val="0027605E"/>
    <w:rsid w:val="00276D10"/>
    <w:rsid w:val="00277E86"/>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729B"/>
    <w:rsid w:val="002C23B5"/>
    <w:rsid w:val="002C33E6"/>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6BF2"/>
    <w:rsid w:val="002F1491"/>
    <w:rsid w:val="002F4085"/>
    <w:rsid w:val="0030009B"/>
    <w:rsid w:val="00300C0F"/>
    <w:rsid w:val="00303A77"/>
    <w:rsid w:val="00306CA2"/>
    <w:rsid w:val="00307311"/>
    <w:rsid w:val="003122CC"/>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40521"/>
    <w:rsid w:val="00343DB2"/>
    <w:rsid w:val="00345C73"/>
    <w:rsid w:val="00350122"/>
    <w:rsid w:val="0035047B"/>
    <w:rsid w:val="0035348B"/>
    <w:rsid w:val="00353F70"/>
    <w:rsid w:val="00354A99"/>
    <w:rsid w:val="00360259"/>
    <w:rsid w:val="00360311"/>
    <w:rsid w:val="00361922"/>
    <w:rsid w:val="003630C7"/>
    <w:rsid w:val="00364191"/>
    <w:rsid w:val="00364ED1"/>
    <w:rsid w:val="00370087"/>
    <w:rsid w:val="00370BB5"/>
    <w:rsid w:val="0037339B"/>
    <w:rsid w:val="00382FB2"/>
    <w:rsid w:val="00383ECB"/>
    <w:rsid w:val="0038688F"/>
    <w:rsid w:val="00386C11"/>
    <w:rsid w:val="0039014D"/>
    <w:rsid w:val="00392CB2"/>
    <w:rsid w:val="0039522F"/>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6F7C"/>
    <w:rsid w:val="003C7960"/>
    <w:rsid w:val="003D1B49"/>
    <w:rsid w:val="003D42FD"/>
    <w:rsid w:val="003D5D34"/>
    <w:rsid w:val="003E036D"/>
    <w:rsid w:val="003E164B"/>
    <w:rsid w:val="003E1C5C"/>
    <w:rsid w:val="003E508D"/>
    <w:rsid w:val="003E631C"/>
    <w:rsid w:val="003E6650"/>
    <w:rsid w:val="003F0E3C"/>
    <w:rsid w:val="003F2486"/>
    <w:rsid w:val="003F2F39"/>
    <w:rsid w:val="003F3858"/>
    <w:rsid w:val="003F42E6"/>
    <w:rsid w:val="003F568C"/>
    <w:rsid w:val="003F5B46"/>
    <w:rsid w:val="0040035B"/>
    <w:rsid w:val="00401363"/>
    <w:rsid w:val="00401BD2"/>
    <w:rsid w:val="00402E47"/>
    <w:rsid w:val="0040546D"/>
    <w:rsid w:val="00407C33"/>
    <w:rsid w:val="0041028C"/>
    <w:rsid w:val="00412D31"/>
    <w:rsid w:val="004150D1"/>
    <w:rsid w:val="004158F2"/>
    <w:rsid w:val="00416070"/>
    <w:rsid w:val="004202CB"/>
    <w:rsid w:val="00423878"/>
    <w:rsid w:val="00423C3D"/>
    <w:rsid w:val="00425015"/>
    <w:rsid w:val="00430994"/>
    <w:rsid w:val="00434213"/>
    <w:rsid w:val="00435AB8"/>
    <w:rsid w:val="0043616D"/>
    <w:rsid w:val="00436A61"/>
    <w:rsid w:val="00441B6D"/>
    <w:rsid w:val="00443458"/>
    <w:rsid w:val="004438F1"/>
    <w:rsid w:val="00445854"/>
    <w:rsid w:val="00446CF8"/>
    <w:rsid w:val="0044766E"/>
    <w:rsid w:val="004528F0"/>
    <w:rsid w:val="0045466A"/>
    <w:rsid w:val="004556EF"/>
    <w:rsid w:val="0045575B"/>
    <w:rsid w:val="00461E61"/>
    <w:rsid w:val="00462B07"/>
    <w:rsid w:val="004633D8"/>
    <w:rsid w:val="00465BD2"/>
    <w:rsid w:val="004660F1"/>
    <w:rsid w:val="00467CAE"/>
    <w:rsid w:val="00470D88"/>
    <w:rsid w:val="004715C8"/>
    <w:rsid w:val="004755EE"/>
    <w:rsid w:val="00477145"/>
    <w:rsid w:val="00477809"/>
    <w:rsid w:val="00481159"/>
    <w:rsid w:val="00481C31"/>
    <w:rsid w:val="00482FC1"/>
    <w:rsid w:val="00483027"/>
    <w:rsid w:val="00483788"/>
    <w:rsid w:val="00484710"/>
    <w:rsid w:val="00485064"/>
    <w:rsid w:val="004871AA"/>
    <w:rsid w:val="0049080F"/>
    <w:rsid w:val="004918D7"/>
    <w:rsid w:val="004926E1"/>
    <w:rsid w:val="00492D27"/>
    <w:rsid w:val="00495240"/>
    <w:rsid w:val="004A2A2D"/>
    <w:rsid w:val="004A2FEA"/>
    <w:rsid w:val="004A753A"/>
    <w:rsid w:val="004B5616"/>
    <w:rsid w:val="004B5DE6"/>
    <w:rsid w:val="004B7BBA"/>
    <w:rsid w:val="004B7D79"/>
    <w:rsid w:val="004C449C"/>
    <w:rsid w:val="004C4A5D"/>
    <w:rsid w:val="004D030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7BBB"/>
    <w:rsid w:val="005128DF"/>
    <w:rsid w:val="005135A3"/>
    <w:rsid w:val="0051592A"/>
    <w:rsid w:val="00515AF3"/>
    <w:rsid w:val="005179B6"/>
    <w:rsid w:val="00517A49"/>
    <w:rsid w:val="00517CD9"/>
    <w:rsid w:val="005206FE"/>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3441"/>
    <w:rsid w:val="005542F5"/>
    <w:rsid w:val="00554FB7"/>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2A41"/>
    <w:rsid w:val="005936D6"/>
    <w:rsid w:val="005968EF"/>
    <w:rsid w:val="00596C1E"/>
    <w:rsid w:val="00596ED1"/>
    <w:rsid w:val="00596F42"/>
    <w:rsid w:val="0059708B"/>
    <w:rsid w:val="00597A62"/>
    <w:rsid w:val="005A12FC"/>
    <w:rsid w:val="005A2E26"/>
    <w:rsid w:val="005A2E50"/>
    <w:rsid w:val="005B0A60"/>
    <w:rsid w:val="005B1BE0"/>
    <w:rsid w:val="005B486A"/>
    <w:rsid w:val="005B48EA"/>
    <w:rsid w:val="005B4901"/>
    <w:rsid w:val="005B59AE"/>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30B3D"/>
    <w:rsid w:val="0063256E"/>
    <w:rsid w:val="00633F04"/>
    <w:rsid w:val="00635219"/>
    <w:rsid w:val="00635EC0"/>
    <w:rsid w:val="0064063F"/>
    <w:rsid w:val="00640B58"/>
    <w:rsid w:val="00641089"/>
    <w:rsid w:val="006412CB"/>
    <w:rsid w:val="00641B9B"/>
    <w:rsid w:val="00642283"/>
    <w:rsid w:val="00642371"/>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6FE6"/>
    <w:rsid w:val="00667592"/>
    <w:rsid w:val="00670CBF"/>
    <w:rsid w:val="00671CC8"/>
    <w:rsid w:val="00671DED"/>
    <w:rsid w:val="00672961"/>
    <w:rsid w:val="0067517E"/>
    <w:rsid w:val="006753E4"/>
    <w:rsid w:val="00675B9E"/>
    <w:rsid w:val="00681414"/>
    <w:rsid w:val="00682E42"/>
    <w:rsid w:val="00683490"/>
    <w:rsid w:val="0068498A"/>
    <w:rsid w:val="00684A92"/>
    <w:rsid w:val="00685ECE"/>
    <w:rsid w:val="00687890"/>
    <w:rsid w:val="00691D53"/>
    <w:rsid w:val="00693AAD"/>
    <w:rsid w:val="00695519"/>
    <w:rsid w:val="006A11D0"/>
    <w:rsid w:val="006A2F66"/>
    <w:rsid w:val="006A30DE"/>
    <w:rsid w:val="006A4134"/>
    <w:rsid w:val="006A4582"/>
    <w:rsid w:val="006A5DDA"/>
    <w:rsid w:val="006A6701"/>
    <w:rsid w:val="006B21F4"/>
    <w:rsid w:val="006B250C"/>
    <w:rsid w:val="006B3753"/>
    <w:rsid w:val="006B75AB"/>
    <w:rsid w:val="006B7AD6"/>
    <w:rsid w:val="006C50FD"/>
    <w:rsid w:val="006C545E"/>
    <w:rsid w:val="006C616E"/>
    <w:rsid w:val="006C6233"/>
    <w:rsid w:val="006C745E"/>
    <w:rsid w:val="006D1DD4"/>
    <w:rsid w:val="006D3828"/>
    <w:rsid w:val="006D3F97"/>
    <w:rsid w:val="006D4014"/>
    <w:rsid w:val="006D44C1"/>
    <w:rsid w:val="006D4A6B"/>
    <w:rsid w:val="006D723F"/>
    <w:rsid w:val="006D78E1"/>
    <w:rsid w:val="006D7AA4"/>
    <w:rsid w:val="006E0F56"/>
    <w:rsid w:val="006E16EA"/>
    <w:rsid w:val="006E2AC2"/>
    <w:rsid w:val="006E3C59"/>
    <w:rsid w:val="006E3FF0"/>
    <w:rsid w:val="006E5651"/>
    <w:rsid w:val="006E5B85"/>
    <w:rsid w:val="006E6E6D"/>
    <w:rsid w:val="006E7315"/>
    <w:rsid w:val="006F026A"/>
    <w:rsid w:val="006F0461"/>
    <w:rsid w:val="006F050D"/>
    <w:rsid w:val="006F16C5"/>
    <w:rsid w:val="006F3304"/>
    <w:rsid w:val="006F39B5"/>
    <w:rsid w:val="006F678C"/>
    <w:rsid w:val="0070265B"/>
    <w:rsid w:val="00703867"/>
    <w:rsid w:val="00704102"/>
    <w:rsid w:val="0070481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2B50"/>
    <w:rsid w:val="007442AE"/>
    <w:rsid w:val="00744DE6"/>
    <w:rsid w:val="0074536D"/>
    <w:rsid w:val="00745D1C"/>
    <w:rsid w:val="00750065"/>
    <w:rsid w:val="00750138"/>
    <w:rsid w:val="00750226"/>
    <w:rsid w:val="00755F01"/>
    <w:rsid w:val="007577C0"/>
    <w:rsid w:val="00762452"/>
    <w:rsid w:val="007639E0"/>
    <w:rsid w:val="0077036E"/>
    <w:rsid w:val="007733C9"/>
    <w:rsid w:val="00775507"/>
    <w:rsid w:val="007761F3"/>
    <w:rsid w:val="00780888"/>
    <w:rsid w:val="00782093"/>
    <w:rsid w:val="00783473"/>
    <w:rsid w:val="0078594B"/>
    <w:rsid w:val="0079027D"/>
    <w:rsid w:val="007924A8"/>
    <w:rsid w:val="00793138"/>
    <w:rsid w:val="00793188"/>
    <w:rsid w:val="0079440C"/>
    <w:rsid w:val="0079457B"/>
    <w:rsid w:val="007948C6"/>
    <w:rsid w:val="00794CCB"/>
    <w:rsid w:val="00795E02"/>
    <w:rsid w:val="007979D0"/>
    <w:rsid w:val="007A1DD4"/>
    <w:rsid w:val="007A23E2"/>
    <w:rsid w:val="007A32D3"/>
    <w:rsid w:val="007A4E18"/>
    <w:rsid w:val="007A4F35"/>
    <w:rsid w:val="007A516A"/>
    <w:rsid w:val="007A592C"/>
    <w:rsid w:val="007A5EB7"/>
    <w:rsid w:val="007A6375"/>
    <w:rsid w:val="007A63B3"/>
    <w:rsid w:val="007A65EC"/>
    <w:rsid w:val="007A7B8C"/>
    <w:rsid w:val="007B04D0"/>
    <w:rsid w:val="007B2F1A"/>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2257"/>
    <w:rsid w:val="007F3F5C"/>
    <w:rsid w:val="007F6AF4"/>
    <w:rsid w:val="0080091D"/>
    <w:rsid w:val="00801D48"/>
    <w:rsid w:val="00804108"/>
    <w:rsid w:val="008049F5"/>
    <w:rsid w:val="00804FC4"/>
    <w:rsid w:val="00805433"/>
    <w:rsid w:val="0080678F"/>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276D"/>
    <w:rsid w:val="00853CCD"/>
    <w:rsid w:val="00854B4E"/>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956DD"/>
    <w:rsid w:val="008962AF"/>
    <w:rsid w:val="008A0318"/>
    <w:rsid w:val="008A0D91"/>
    <w:rsid w:val="008A317F"/>
    <w:rsid w:val="008A40E4"/>
    <w:rsid w:val="008A510E"/>
    <w:rsid w:val="008A522A"/>
    <w:rsid w:val="008A7BF5"/>
    <w:rsid w:val="008B2C08"/>
    <w:rsid w:val="008B4464"/>
    <w:rsid w:val="008B476E"/>
    <w:rsid w:val="008B4976"/>
    <w:rsid w:val="008B750B"/>
    <w:rsid w:val="008C3162"/>
    <w:rsid w:val="008C4352"/>
    <w:rsid w:val="008C4832"/>
    <w:rsid w:val="008C4E60"/>
    <w:rsid w:val="008C6771"/>
    <w:rsid w:val="008C769C"/>
    <w:rsid w:val="008D1F14"/>
    <w:rsid w:val="008D6142"/>
    <w:rsid w:val="008D61AD"/>
    <w:rsid w:val="008D6275"/>
    <w:rsid w:val="008D62F3"/>
    <w:rsid w:val="008D7E1A"/>
    <w:rsid w:val="008E3924"/>
    <w:rsid w:val="008E3978"/>
    <w:rsid w:val="008E56E1"/>
    <w:rsid w:val="008E5C35"/>
    <w:rsid w:val="008E6013"/>
    <w:rsid w:val="008E70DF"/>
    <w:rsid w:val="008F13F7"/>
    <w:rsid w:val="008F14AC"/>
    <w:rsid w:val="008F4246"/>
    <w:rsid w:val="008F50FD"/>
    <w:rsid w:val="008F5B4D"/>
    <w:rsid w:val="008F695C"/>
    <w:rsid w:val="00900443"/>
    <w:rsid w:val="00903F8E"/>
    <w:rsid w:val="009041FE"/>
    <w:rsid w:val="00906E84"/>
    <w:rsid w:val="00907425"/>
    <w:rsid w:val="009117AF"/>
    <w:rsid w:val="0091276F"/>
    <w:rsid w:val="00912BB0"/>
    <w:rsid w:val="00912E0A"/>
    <w:rsid w:val="00913412"/>
    <w:rsid w:val="00916C86"/>
    <w:rsid w:val="0092137A"/>
    <w:rsid w:val="00923C34"/>
    <w:rsid w:val="00924152"/>
    <w:rsid w:val="0092513D"/>
    <w:rsid w:val="00927A9F"/>
    <w:rsid w:val="0093221A"/>
    <w:rsid w:val="009335CC"/>
    <w:rsid w:val="00935A1A"/>
    <w:rsid w:val="00935A55"/>
    <w:rsid w:val="00936AD6"/>
    <w:rsid w:val="009379D0"/>
    <w:rsid w:val="009402F3"/>
    <w:rsid w:val="00940BE7"/>
    <w:rsid w:val="00941CEB"/>
    <w:rsid w:val="009441A5"/>
    <w:rsid w:val="009447DA"/>
    <w:rsid w:val="0094720F"/>
    <w:rsid w:val="00953B28"/>
    <w:rsid w:val="00954310"/>
    <w:rsid w:val="00954322"/>
    <w:rsid w:val="00954A70"/>
    <w:rsid w:val="00957253"/>
    <w:rsid w:val="00957874"/>
    <w:rsid w:val="009579A6"/>
    <w:rsid w:val="00957CAA"/>
    <w:rsid w:val="00960167"/>
    <w:rsid w:val="00962E21"/>
    <w:rsid w:val="00963571"/>
    <w:rsid w:val="0096778A"/>
    <w:rsid w:val="00973BB2"/>
    <w:rsid w:val="009740BE"/>
    <w:rsid w:val="00975271"/>
    <w:rsid w:val="00975969"/>
    <w:rsid w:val="00977656"/>
    <w:rsid w:val="00977FC6"/>
    <w:rsid w:val="00980413"/>
    <w:rsid w:val="00981B59"/>
    <w:rsid w:val="00981E37"/>
    <w:rsid w:val="009846A7"/>
    <w:rsid w:val="0098794D"/>
    <w:rsid w:val="0099497B"/>
    <w:rsid w:val="00994CC3"/>
    <w:rsid w:val="009959A7"/>
    <w:rsid w:val="00995FB3"/>
    <w:rsid w:val="009A296E"/>
    <w:rsid w:val="009A43BA"/>
    <w:rsid w:val="009B0A95"/>
    <w:rsid w:val="009B0D05"/>
    <w:rsid w:val="009B4CA6"/>
    <w:rsid w:val="009B6B1F"/>
    <w:rsid w:val="009B79F8"/>
    <w:rsid w:val="009C66D5"/>
    <w:rsid w:val="009C72D0"/>
    <w:rsid w:val="009D13FD"/>
    <w:rsid w:val="009D266A"/>
    <w:rsid w:val="009E109A"/>
    <w:rsid w:val="009E3767"/>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284A"/>
    <w:rsid w:val="00A42E52"/>
    <w:rsid w:val="00A4371E"/>
    <w:rsid w:val="00A437CF"/>
    <w:rsid w:val="00A45172"/>
    <w:rsid w:val="00A45706"/>
    <w:rsid w:val="00A457C6"/>
    <w:rsid w:val="00A46AD0"/>
    <w:rsid w:val="00A47063"/>
    <w:rsid w:val="00A473A8"/>
    <w:rsid w:val="00A511A2"/>
    <w:rsid w:val="00A513F0"/>
    <w:rsid w:val="00A52DD1"/>
    <w:rsid w:val="00A56A8C"/>
    <w:rsid w:val="00A60431"/>
    <w:rsid w:val="00A60A5F"/>
    <w:rsid w:val="00A61AC8"/>
    <w:rsid w:val="00A6366F"/>
    <w:rsid w:val="00A64AA2"/>
    <w:rsid w:val="00A65D4C"/>
    <w:rsid w:val="00A70512"/>
    <w:rsid w:val="00A716D6"/>
    <w:rsid w:val="00A7602D"/>
    <w:rsid w:val="00A76243"/>
    <w:rsid w:val="00A7796C"/>
    <w:rsid w:val="00A77A0A"/>
    <w:rsid w:val="00A77FDF"/>
    <w:rsid w:val="00A8086C"/>
    <w:rsid w:val="00A91F2F"/>
    <w:rsid w:val="00A93DDD"/>
    <w:rsid w:val="00A97DDE"/>
    <w:rsid w:val="00AA0056"/>
    <w:rsid w:val="00AA1F60"/>
    <w:rsid w:val="00AA2CFD"/>
    <w:rsid w:val="00AA40D7"/>
    <w:rsid w:val="00AA4211"/>
    <w:rsid w:val="00AA6054"/>
    <w:rsid w:val="00AA6889"/>
    <w:rsid w:val="00AA6E0F"/>
    <w:rsid w:val="00AB0688"/>
    <w:rsid w:val="00AB2CD6"/>
    <w:rsid w:val="00AB3CC2"/>
    <w:rsid w:val="00AB41D0"/>
    <w:rsid w:val="00AB5F7D"/>
    <w:rsid w:val="00AC0C50"/>
    <w:rsid w:val="00AC0CCF"/>
    <w:rsid w:val="00AC46C5"/>
    <w:rsid w:val="00AC5C9F"/>
    <w:rsid w:val="00AC5EF1"/>
    <w:rsid w:val="00AC6FE2"/>
    <w:rsid w:val="00AC73B9"/>
    <w:rsid w:val="00AC7F08"/>
    <w:rsid w:val="00AD0699"/>
    <w:rsid w:val="00AD0AB8"/>
    <w:rsid w:val="00AD2DFE"/>
    <w:rsid w:val="00AD3D66"/>
    <w:rsid w:val="00AD4F0B"/>
    <w:rsid w:val="00AD6C92"/>
    <w:rsid w:val="00AE4931"/>
    <w:rsid w:val="00AE4F25"/>
    <w:rsid w:val="00AF3925"/>
    <w:rsid w:val="00AF5F69"/>
    <w:rsid w:val="00AF603A"/>
    <w:rsid w:val="00AF6A6B"/>
    <w:rsid w:val="00B01F36"/>
    <w:rsid w:val="00B06AAF"/>
    <w:rsid w:val="00B07772"/>
    <w:rsid w:val="00B10897"/>
    <w:rsid w:val="00B10B61"/>
    <w:rsid w:val="00B10E5F"/>
    <w:rsid w:val="00B1287E"/>
    <w:rsid w:val="00B1296B"/>
    <w:rsid w:val="00B1297A"/>
    <w:rsid w:val="00B139C6"/>
    <w:rsid w:val="00B20441"/>
    <w:rsid w:val="00B20D49"/>
    <w:rsid w:val="00B218F8"/>
    <w:rsid w:val="00B2292F"/>
    <w:rsid w:val="00B27269"/>
    <w:rsid w:val="00B3379B"/>
    <w:rsid w:val="00B347CE"/>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4F90"/>
    <w:rsid w:val="00B65732"/>
    <w:rsid w:val="00B7071E"/>
    <w:rsid w:val="00B70B46"/>
    <w:rsid w:val="00B739B0"/>
    <w:rsid w:val="00B73D28"/>
    <w:rsid w:val="00B74807"/>
    <w:rsid w:val="00B74A97"/>
    <w:rsid w:val="00B74C4A"/>
    <w:rsid w:val="00B75E2B"/>
    <w:rsid w:val="00B766AB"/>
    <w:rsid w:val="00B77B8C"/>
    <w:rsid w:val="00B808DA"/>
    <w:rsid w:val="00B814A3"/>
    <w:rsid w:val="00B829CA"/>
    <w:rsid w:val="00B83D63"/>
    <w:rsid w:val="00B86C41"/>
    <w:rsid w:val="00B9062B"/>
    <w:rsid w:val="00B96F38"/>
    <w:rsid w:val="00B97D58"/>
    <w:rsid w:val="00BA10E0"/>
    <w:rsid w:val="00BA31BE"/>
    <w:rsid w:val="00BA6F00"/>
    <w:rsid w:val="00BA71FB"/>
    <w:rsid w:val="00BA75A6"/>
    <w:rsid w:val="00BB23FE"/>
    <w:rsid w:val="00BB2711"/>
    <w:rsid w:val="00BB35F9"/>
    <w:rsid w:val="00BB455D"/>
    <w:rsid w:val="00BB7E2C"/>
    <w:rsid w:val="00BC3472"/>
    <w:rsid w:val="00BC445F"/>
    <w:rsid w:val="00BC4C66"/>
    <w:rsid w:val="00BC716B"/>
    <w:rsid w:val="00BC74C0"/>
    <w:rsid w:val="00BD0455"/>
    <w:rsid w:val="00BD0E74"/>
    <w:rsid w:val="00BD2181"/>
    <w:rsid w:val="00BD288D"/>
    <w:rsid w:val="00BD3798"/>
    <w:rsid w:val="00BD4665"/>
    <w:rsid w:val="00BD5F8C"/>
    <w:rsid w:val="00BD7347"/>
    <w:rsid w:val="00BD7C60"/>
    <w:rsid w:val="00BE227D"/>
    <w:rsid w:val="00BE29DD"/>
    <w:rsid w:val="00BE6F3A"/>
    <w:rsid w:val="00BF1626"/>
    <w:rsid w:val="00BF2CC7"/>
    <w:rsid w:val="00BF450F"/>
    <w:rsid w:val="00BF550D"/>
    <w:rsid w:val="00BF60A9"/>
    <w:rsid w:val="00C03F30"/>
    <w:rsid w:val="00C049E0"/>
    <w:rsid w:val="00C066AF"/>
    <w:rsid w:val="00C06ECF"/>
    <w:rsid w:val="00C07B57"/>
    <w:rsid w:val="00C108A5"/>
    <w:rsid w:val="00C10E06"/>
    <w:rsid w:val="00C123D2"/>
    <w:rsid w:val="00C140F7"/>
    <w:rsid w:val="00C145B8"/>
    <w:rsid w:val="00C14807"/>
    <w:rsid w:val="00C15881"/>
    <w:rsid w:val="00C16751"/>
    <w:rsid w:val="00C21812"/>
    <w:rsid w:val="00C22EA6"/>
    <w:rsid w:val="00C2438F"/>
    <w:rsid w:val="00C259CB"/>
    <w:rsid w:val="00C305D7"/>
    <w:rsid w:val="00C31AF0"/>
    <w:rsid w:val="00C32A7E"/>
    <w:rsid w:val="00C33DB1"/>
    <w:rsid w:val="00C34F28"/>
    <w:rsid w:val="00C3612E"/>
    <w:rsid w:val="00C368DF"/>
    <w:rsid w:val="00C43A60"/>
    <w:rsid w:val="00C442C5"/>
    <w:rsid w:val="00C44323"/>
    <w:rsid w:val="00C46182"/>
    <w:rsid w:val="00C55454"/>
    <w:rsid w:val="00C55B23"/>
    <w:rsid w:val="00C57B5C"/>
    <w:rsid w:val="00C57C7C"/>
    <w:rsid w:val="00C61049"/>
    <w:rsid w:val="00C62439"/>
    <w:rsid w:val="00C62FB8"/>
    <w:rsid w:val="00C63E2A"/>
    <w:rsid w:val="00C63FFE"/>
    <w:rsid w:val="00C65079"/>
    <w:rsid w:val="00C70C21"/>
    <w:rsid w:val="00C717FE"/>
    <w:rsid w:val="00C72C49"/>
    <w:rsid w:val="00C7317F"/>
    <w:rsid w:val="00C733AD"/>
    <w:rsid w:val="00C74211"/>
    <w:rsid w:val="00C74CDC"/>
    <w:rsid w:val="00C76E5D"/>
    <w:rsid w:val="00C77362"/>
    <w:rsid w:val="00C913CB"/>
    <w:rsid w:val="00C91EB6"/>
    <w:rsid w:val="00C93867"/>
    <w:rsid w:val="00C9418D"/>
    <w:rsid w:val="00C9544C"/>
    <w:rsid w:val="00C9602A"/>
    <w:rsid w:val="00CA10B0"/>
    <w:rsid w:val="00CA266F"/>
    <w:rsid w:val="00CA2F8E"/>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44CC"/>
    <w:rsid w:val="00CC58DF"/>
    <w:rsid w:val="00CC5D41"/>
    <w:rsid w:val="00CC60B7"/>
    <w:rsid w:val="00CD0050"/>
    <w:rsid w:val="00CD0552"/>
    <w:rsid w:val="00CD14F1"/>
    <w:rsid w:val="00CD3AA4"/>
    <w:rsid w:val="00CE0D07"/>
    <w:rsid w:val="00CE5B6C"/>
    <w:rsid w:val="00CE7481"/>
    <w:rsid w:val="00CE74B3"/>
    <w:rsid w:val="00CF0A8F"/>
    <w:rsid w:val="00CF2D81"/>
    <w:rsid w:val="00CF3650"/>
    <w:rsid w:val="00CF5CB2"/>
    <w:rsid w:val="00CF6731"/>
    <w:rsid w:val="00CF6DC3"/>
    <w:rsid w:val="00CF76FA"/>
    <w:rsid w:val="00CF770E"/>
    <w:rsid w:val="00D00520"/>
    <w:rsid w:val="00D0154F"/>
    <w:rsid w:val="00D02EE7"/>
    <w:rsid w:val="00D04851"/>
    <w:rsid w:val="00D048CE"/>
    <w:rsid w:val="00D06563"/>
    <w:rsid w:val="00D06EB1"/>
    <w:rsid w:val="00D10998"/>
    <w:rsid w:val="00D13235"/>
    <w:rsid w:val="00D15CBD"/>
    <w:rsid w:val="00D15F69"/>
    <w:rsid w:val="00D221CB"/>
    <w:rsid w:val="00D23391"/>
    <w:rsid w:val="00D25CD2"/>
    <w:rsid w:val="00D312DD"/>
    <w:rsid w:val="00D31805"/>
    <w:rsid w:val="00D31D46"/>
    <w:rsid w:val="00D32BEE"/>
    <w:rsid w:val="00D34D88"/>
    <w:rsid w:val="00D362EF"/>
    <w:rsid w:val="00D369FF"/>
    <w:rsid w:val="00D45455"/>
    <w:rsid w:val="00D4589E"/>
    <w:rsid w:val="00D458E4"/>
    <w:rsid w:val="00D519CB"/>
    <w:rsid w:val="00D51A6C"/>
    <w:rsid w:val="00D5368E"/>
    <w:rsid w:val="00D552B9"/>
    <w:rsid w:val="00D55F16"/>
    <w:rsid w:val="00D6192A"/>
    <w:rsid w:val="00D63C78"/>
    <w:rsid w:val="00D6461C"/>
    <w:rsid w:val="00D660FF"/>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762C"/>
    <w:rsid w:val="00DB06F4"/>
    <w:rsid w:val="00DB0CBB"/>
    <w:rsid w:val="00DB4DA5"/>
    <w:rsid w:val="00DB5266"/>
    <w:rsid w:val="00DB64ED"/>
    <w:rsid w:val="00DB67CC"/>
    <w:rsid w:val="00DC25F6"/>
    <w:rsid w:val="00DC261F"/>
    <w:rsid w:val="00DC2EB0"/>
    <w:rsid w:val="00DC3783"/>
    <w:rsid w:val="00DC5DA6"/>
    <w:rsid w:val="00DD1E93"/>
    <w:rsid w:val="00DE1070"/>
    <w:rsid w:val="00DF1FA1"/>
    <w:rsid w:val="00DF2139"/>
    <w:rsid w:val="00DF481A"/>
    <w:rsid w:val="00DF4BF1"/>
    <w:rsid w:val="00E00219"/>
    <w:rsid w:val="00E0316B"/>
    <w:rsid w:val="00E04D3D"/>
    <w:rsid w:val="00E04D5E"/>
    <w:rsid w:val="00E05517"/>
    <w:rsid w:val="00E0609B"/>
    <w:rsid w:val="00E10F2A"/>
    <w:rsid w:val="00E127BA"/>
    <w:rsid w:val="00E20848"/>
    <w:rsid w:val="00E212F3"/>
    <w:rsid w:val="00E2530E"/>
    <w:rsid w:val="00E25E10"/>
    <w:rsid w:val="00E26C30"/>
    <w:rsid w:val="00E3598E"/>
    <w:rsid w:val="00E35A64"/>
    <w:rsid w:val="00E37200"/>
    <w:rsid w:val="00E4029A"/>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80D96"/>
    <w:rsid w:val="00E82B21"/>
    <w:rsid w:val="00E8318B"/>
    <w:rsid w:val="00E839E7"/>
    <w:rsid w:val="00E85B48"/>
    <w:rsid w:val="00E871FA"/>
    <w:rsid w:val="00E875C2"/>
    <w:rsid w:val="00E87739"/>
    <w:rsid w:val="00E9180E"/>
    <w:rsid w:val="00E923E0"/>
    <w:rsid w:val="00E92771"/>
    <w:rsid w:val="00E936A4"/>
    <w:rsid w:val="00E954BB"/>
    <w:rsid w:val="00E97C84"/>
    <w:rsid w:val="00EA0977"/>
    <w:rsid w:val="00EA44A4"/>
    <w:rsid w:val="00EA45E7"/>
    <w:rsid w:val="00EB0BB5"/>
    <w:rsid w:val="00EB3455"/>
    <w:rsid w:val="00EB69A1"/>
    <w:rsid w:val="00EB6CDD"/>
    <w:rsid w:val="00EB78E3"/>
    <w:rsid w:val="00EB7BE3"/>
    <w:rsid w:val="00EB7D96"/>
    <w:rsid w:val="00EC1C4B"/>
    <w:rsid w:val="00EC1DE9"/>
    <w:rsid w:val="00EC735A"/>
    <w:rsid w:val="00ED21AC"/>
    <w:rsid w:val="00ED42CD"/>
    <w:rsid w:val="00ED598B"/>
    <w:rsid w:val="00ED5F38"/>
    <w:rsid w:val="00ED7A4D"/>
    <w:rsid w:val="00EE61D2"/>
    <w:rsid w:val="00EE7A2C"/>
    <w:rsid w:val="00EF27FE"/>
    <w:rsid w:val="00EF39BA"/>
    <w:rsid w:val="00EF6186"/>
    <w:rsid w:val="00F06057"/>
    <w:rsid w:val="00F06F1C"/>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1515"/>
    <w:rsid w:val="00F318BE"/>
    <w:rsid w:val="00F31AC4"/>
    <w:rsid w:val="00F33297"/>
    <w:rsid w:val="00F33689"/>
    <w:rsid w:val="00F343FB"/>
    <w:rsid w:val="00F34DDB"/>
    <w:rsid w:val="00F359FE"/>
    <w:rsid w:val="00F410EF"/>
    <w:rsid w:val="00F411B4"/>
    <w:rsid w:val="00F42159"/>
    <w:rsid w:val="00F4256E"/>
    <w:rsid w:val="00F42EE1"/>
    <w:rsid w:val="00F43309"/>
    <w:rsid w:val="00F507F3"/>
    <w:rsid w:val="00F516A1"/>
    <w:rsid w:val="00F54240"/>
    <w:rsid w:val="00F54AD1"/>
    <w:rsid w:val="00F57CBD"/>
    <w:rsid w:val="00F60F1F"/>
    <w:rsid w:val="00F61868"/>
    <w:rsid w:val="00F62839"/>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576D"/>
    <w:rsid w:val="00F86F4E"/>
    <w:rsid w:val="00F914EB"/>
    <w:rsid w:val="00F91696"/>
    <w:rsid w:val="00F916D2"/>
    <w:rsid w:val="00F91B85"/>
    <w:rsid w:val="00F938E7"/>
    <w:rsid w:val="00F96D0E"/>
    <w:rsid w:val="00FA2B72"/>
    <w:rsid w:val="00FA3B17"/>
    <w:rsid w:val="00FA49F9"/>
    <w:rsid w:val="00FA5E8D"/>
    <w:rsid w:val="00FA5F3D"/>
    <w:rsid w:val="00FA67F5"/>
    <w:rsid w:val="00FA6815"/>
    <w:rsid w:val="00FA6AD0"/>
    <w:rsid w:val="00FA6B5E"/>
    <w:rsid w:val="00FB292A"/>
    <w:rsid w:val="00FB3784"/>
    <w:rsid w:val="00FB399E"/>
    <w:rsid w:val="00FB41B4"/>
    <w:rsid w:val="00FB7825"/>
    <w:rsid w:val="00FB7F50"/>
    <w:rsid w:val="00FC0807"/>
    <w:rsid w:val="00FC1D5A"/>
    <w:rsid w:val="00FC28BC"/>
    <w:rsid w:val="00FC2A85"/>
    <w:rsid w:val="00FC40AF"/>
    <w:rsid w:val="00FC5BAB"/>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2380"/>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6B712A-C275-4DAA-90A8-9B00C0A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54/1/178/" TargetMode="External"/><Relationship Id="rId2" Type="http://schemas.openxmlformats.org/officeDocument/2006/relationships/hyperlink" Target="http://lib.eshia.ir/15114/1/239/" TargetMode="External"/><Relationship Id="rId1" Type="http://schemas.openxmlformats.org/officeDocument/2006/relationships/hyperlink" Target="http://lib.eshia.ir/10050/1/156/" TargetMode="External"/><Relationship Id="rId6" Type="http://schemas.openxmlformats.org/officeDocument/2006/relationships/hyperlink" Target="http://lib.eshia.ir/10036/1/218/" TargetMode="External"/><Relationship Id="rId5" Type="http://schemas.openxmlformats.org/officeDocument/2006/relationships/hyperlink" Target="http://lib.eshia.ir/10036/1/214/" TargetMode="External"/><Relationship Id="rId4" Type="http://schemas.openxmlformats.org/officeDocument/2006/relationships/hyperlink" Target="http://lib.eshia.ir/10015/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CAC6-ED81-4963-9496-D3760F60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Template>
  <TotalTime>50231</TotalTime>
  <Pages>5</Pages>
  <Words>1301</Words>
  <Characters>7420</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8704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احمد حسنی</cp:lastModifiedBy>
  <cp:revision>337</cp:revision>
  <cp:lastPrinted>2025-04-20T18:22:00Z</cp:lastPrinted>
  <dcterms:created xsi:type="dcterms:W3CDTF">2024-08-30T15:23:00Z</dcterms:created>
  <dcterms:modified xsi:type="dcterms:W3CDTF">2025-04-27T04:48:00Z</dcterms:modified>
  <cp:contentStatus>ویرایش 2.5</cp:contentStatus>
  <cp:version>2.7</cp:version>
</cp:coreProperties>
</file>