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451A4" w14:textId="77777777" w:rsidR="00B3366F" w:rsidRPr="0083204D" w:rsidRDefault="00B3366F" w:rsidP="00B3366F">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FECC3A4" w14:textId="109C9445" w:rsidR="00B3366F" w:rsidRPr="0083204D" w:rsidRDefault="00B3366F" w:rsidP="00B3366F">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92</w:t>
      </w:r>
      <w:r>
        <w:rPr>
          <w:rFonts w:ascii="IRANSans" w:hAnsi="IRANSans" w:cs="IRANSans" w:hint="cs"/>
          <w:b/>
          <w:bCs/>
          <w:color w:val="C00000"/>
          <w:sz w:val="28"/>
          <w:shd w:val="clear" w:color="auto" w:fill="FFFFFF"/>
          <w:rtl/>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65</w:t>
      </w:r>
    </w:p>
    <w:p w14:paraId="791A33DB" w14:textId="77777777" w:rsidR="00B3366F" w:rsidRDefault="00B3366F" w:rsidP="00B3366F">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77022938"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006B85BE" w:rsidR="00EB7D96" w:rsidRPr="00B3366F" w:rsidRDefault="00EB7D96" w:rsidP="007F2825">
      <w:pPr>
        <w:ind w:firstLine="397"/>
        <w:rPr>
          <w:rFonts w:ascii="IRBadr" w:hAnsi="IRBadr" w:cs="IRBadr"/>
          <w:b/>
          <w:bCs/>
          <w:color w:val="00B050"/>
          <w:sz w:val="34"/>
          <w:rtl/>
        </w:rPr>
      </w:pPr>
      <w:bookmarkStart w:id="2" w:name="FehStart"/>
      <w:bookmarkEnd w:id="2"/>
      <w:r w:rsidRPr="00B3366F">
        <w:rPr>
          <w:rFonts w:ascii="IRBadr" w:hAnsi="IRBadr" w:cs="IRBadr"/>
          <w:b/>
          <w:bCs/>
          <w:color w:val="00B050"/>
          <w:sz w:val="34"/>
          <w:rtl/>
        </w:rPr>
        <w:t>أعوذ باللّه من الشیطان الرجیم</w:t>
      </w:r>
      <w:r w:rsidRPr="00B3366F">
        <w:rPr>
          <w:rFonts w:ascii="IRBadr" w:hAnsi="IRBadr" w:cs="IRBadr" w:hint="cs"/>
          <w:b/>
          <w:bCs/>
          <w:color w:val="00B050"/>
          <w:sz w:val="34"/>
          <w:rtl/>
        </w:rPr>
        <w:t>.</w:t>
      </w:r>
      <w:r w:rsidRPr="00B3366F">
        <w:rPr>
          <w:rFonts w:ascii="IRBadr" w:hAnsi="IRBadr" w:cs="IRBadr"/>
          <w:b/>
          <w:bCs/>
          <w:color w:val="00B050"/>
          <w:sz w:val="34"/>
          <w:rtl/>
        </w:rPr>
        <w:t xml:space="preserve"> بسم ‌اللّه الرحمن الرحیم</w:t>
      </w:r>
      <w:r w:rsidRPr="00B3366F">
        <w:rPr>
          <w:rFonts w:ascii="IRBadr" w:hAnsi="IRBadr" w:cs="IRBadr" w:hint="cs"/>
          <w:b/>
          <w:bCs/>
          <w:color w:val="00B050"/>
          <w:sz w:val="34"/>
          <w:rtl/>
        </w:rPr>
        <w:t>، و به نستعین؛ إنّه خیر ناصر و معین.</w:t>
      </w:r>
      <w:r w:rsidRPr="00B3366F">
        <w:rPr>
          <w:rFonts w:ascii="IRBadr" w:hAnsi="IRBadr" w:cs="IRBadr"/>
          <w:b/>
          <w:bCs/>
          <w:color w:val="00B050"/>
          <w:sz w:val="34"/>
          <w:rtl/>
        </w:rPr>
        <w:t xml:space="preserve"> الحمد للّه ربّ العالمین</w:t>
      </w:r>
      <w:r w:rsidRPr="00B3366F">
        <w:rPr>
          <w:rFonts w:ascii="IRBadr" w:hAnsi="IRBadr" w:cs="IRBadr" w:hint="cs"/>
          <w:b/>
          <w:bCs/>
          <w:color w:val="00B050"/>
          <w:sz w:val="34"/>
          <w:rtl/>
        </w:rPr>
        <w:t>،</w:t>
      </w:r>
      <w:r w:rsidRPr="00B3366F">
        <w:rPr>
          <w:rFonts w:ascii="IRBadr" w:hAnsi="IRBadr" w:cs="IRBadr"/>
          <w:b/>
          <w:bCs/>
          <w:color w:val="00B050"/>
          <w:sz w:val="34"/>
          <w:rtl/>
        </w:rPr>
        <w:t xml:space="preserve"> و صلّی اللّه علی سیّدنا </w:t>
      </w:r>
      <w:r w:rsidRPr="00B3366F">
        <w:rPr>
          <w:rFonts w:ascii="IRBadr" w:hAnsi="IRBadr" w:cs="IRBadr" w:hint="cs"/>
          <w:b/>
          <w:bCs/>
          <w:color w:val="00B050"/>
          <w:sz w:val="34"/>
          <w:rtl/>
        </w:rPr>
        <w:t xml:space="preserve">و نبیّنا </w:t>
      </w:r>
      <w:r w:rsidRPr="00B3366F">
        <w:rPr>
          <w:rFonts w:ascii="IRBadr" w:hAnsi="IRBadr" w:cs="IRBadr"/>
          <w:b/>
          <w:bCs/>
          <w:color w:val="00B050"/>
          <w:sz w:val="34"/>
          <w:rtl/>
        </w:rPr>
        <w:t>محمّد و آله الطاهرین</w:t>
      </w:r>
      <w:r w:rsidRPr="00B3366F">
        <w:rPr>
          <w:rFonts w:ascii="IRBadr" w:hAnsi="IRBadr" w:cs="IRBadr" w:hint="cs"/>
          <w:b/>
          <w:bCs/>
          <w:color w:val="00B050"/>
          <w:sz w:val="34"/>
          <w:rtl/>
        </w:rPr>
        <w:t>،</w:t>
      </w:r>
      <w:r w:rsidRPr="00B3366F">
        <w:rPr>
          <w:rFonts w:ascii="IRBadr" w:hAnsi="IRBadr" w:cs="IRBadr"/>
          <w:b/>
          <w:bCs/>
          <w:color w:val="00B050"/>
          <w:sz w:val="34"/>
          <w:rtl/>
        </w:rPr>
        <w:t xml:space="preserve"> و اللعن علی أعدائهم أجمعین</w:t>
      </w:r>
      <w:r w:rsidRPr="00B3366F">
        <w:rPr>
          <w:rFonts w:ascii="IRBadr" w:hAnsi="IRBadr" w:cs="IRBadr" w:hint="cs"/>
          <w:b/>
          <w:bCs/>
          <w:color w:val="00B050"/>
          <w:sz w:val="34"/>
          <w:rtl/>
        </w:rPr>
        <w:t xml:space="preserve"> من الآن إلی قیام یوم الدین</w:t>
      </w:r>
      <w:r w:rsidRPr="00B3366F">
        <w:rPr>
          <w:rFonts w:ascii="IRBadr" w:hAnsi="IRBadr" w:cs="IRBadr"/>
          <w:b/>
          <w:bCs/>
          <w:color w:val="00B050"/>
          <w:sz w:val="34"/>
          <w:rtl/>
        </w:rPr>
        <w:t>.</w:t>
      </w:r>
    </w:p>
    <w:p w14:paraId="37F681D9" w14:textId="506B0630" w:rsidR="008B225D" w:rsidRDefault="008B225D" w:rsidP="008B225D">
      <w:pPr>
        <w:pStyle w:val="Heading1"/>
        <w:rPr>
          <w:rtl/>
        </w:rPr>
      </w:pPr>
      <w:bookmarkStart w:id="3" w:name="_Toc218431513"/>
      <w:bookmarkStart w:id="4" w:name="_Toc218544860"/>
      <w:bookmarkStart w:id="5" w:name="_Toc218545408"/>
      <w:bookmarkStart w:id="6" w:name="_Toc218545418"/>
      <w:r>
        <w:rPr>
          <w:rFonts w:hint="cs"/>
          <w:rtl/>
        </w:rPr>
        <w:t>مقاله آقای عطارمنش در مورد حدیث رفع</w:t>
      </w:r>
      <w:bookmarkEnd w:id="3"/>
      <w:bookmarkEnd w:id="4"/>
      <w:bookmarkEnd w:id="5"/>
      <w:bookmarkEnd w:id="6"/>
    </w:p>
    <w:p w14:paraId="61341245" w14:textId="3A039BD4" w:rsidR="008B225D" w:rsidRDefault="008B225D" w:rsidP="007F2825">
      <w:pPr>
        <w:ind w:firstLine="397"/>
        <w:rPr>
          <w:rFonts w:ascii="IRBadr" w:hAnsi="IRBadr" w:cs="IRBadr"/>
          <w:sz w:val="34"/>
          <w:rtl/>
        </w:rPr>
      </w:pPr>
      <w:r>
        <w:rPr>
          <w:rFonts w:ascii="IRBadr" w:hAnsi="IRBadr" w:cs="IRBadr" w:hint="cs"/>
          <w:sz w:val="34"/>
          <w:rtl/>
        </w:rPr>
        <w:t>نکاتی در رابطه با مقاله آقای عطارمنش که مقاله خوبی است در جلسه گذشته بیان شد. یکی از نکات، عدم توجه به زمان صدور است. امروزه روش رایج بحث آن است که مفاد حدیث رفع و معنایی که در زمان کنونی از آن برداشت می‌شود، مورد بررسی قرار گرفته و بر اساس اصالة عدم نقل، این مفاد به زمان صدور نسبت داده می‌شود. این روش صحیح نیست. اصل عدم نقل که اصلی عقلائی است مربوط به جایی است که با فحص در استعمالات زمان صدور، معنای دیگری به دست نیاید. ابتدا استعمالات این واژه در ازمنه صدور باید مورد بررسی قرار گیرد. این استعمالات یا باید در خصوص زمان صدور باشد یا در زمانی</w:t>
      </w:r>
      <w:r w:rsidR="00C74A86">
        <w:rPr>
          <w:rFonts w:ascii="IRBadr" w:hAnsi="IRBadr" w:cs="IRBadr" w:hint="cs"/>
          <w:sz w:val="34"/>
          <w:rtl/>
        </w:rPr>
        <w:t xml:space="preserve"> متاخر به نحوی که</w:t>
      </w:r>
      <w:r>
        <w:rPr>
          <w:rFonts w:ascii="IRBadr" w:hAnsi="IRBadr" w:cs="IRBadr" w:hint="cs"/>
          <w:sz w:val="34"/>
          <w:rtl/>
        </w:rPr>
        <w:t xml:space="preserve"> به طور متعارف</w:t>
      </w:r>
      <w:r w:rsidR="00C74A86">
        <w:rPr>
          <w:rFonts w:ascii="IRBadr" w:hAnsi="IRBadr" w:cs="IRBadr" w:hint="cs"/>
          <w:sz w:val="34"/>
          <w:rtl/>
        </w:rPr>
        <w:t>،</w:t>
      </w:r>
      <w:r>
        <w:rPr>
          <w:rFonts w:ascii="IRBadr" w:hAnsi="IRBadr" w:cs="IRBadr" w:hint="cs"/>
          <w:sz w:val="34"/>
          <w:rtl/>
        </w:rPr>
        <w:t xml:space="preserve"> اصطلاحات و الفاظ، تغییر چندانی نکرده‌ باشند. اگر بین مورد استشهاد و زمان صدور روایت فاصله باشد، آن شاهد نمی‌تواند قرینه مناسبی برای بیان معنای روایت باشد.</w:t>
      </w:r>
    </w:p>
    <w:p w14:paraId="1A62D7B0" w14:textId="77777777" w:rsidR="00EB5BBB" w:rsidRDefault="008B225D" w:rsidP="007F2825">
      <w:pPr>
        <w:ind w:firstLine="397"/>
        <w:rPr>
          <w:rFonts w:ascii="IRBadr" w:hAnsi="IRBadr" w:cs="IRBadr"/>
          <w:sz w:val="34"/>
        </w:rPr>
      </w:pPr>
      <w:r>
        <w:rPr>
          <w:rFonts w:ascii="IRBadr" w:hAnsi="IRBadr" w:cs="IRBadr" w:hint="cs"/>
          <w:sz w:val="34"/>
          <w:rtl/>
        </w:rPr>
        <w:t xml:space="preserve">آقای عطارمنش گونه‌های مختلف رفع و وضع و مشابهاتش را مورد بررسی قرار داده است. ایشان بیان کرده که برخی از این گونه‌ها به محل بحث ارتباطی ندارد. </w:t>
      </w:r>
      <w:r w:rsidR="00C74A86">
        <w:rPr>
          <w:rFonts w:ascii="IRBadr" w:hAnsi="IRBadr" w:cs="IRBadr" w:hint="cs"/>
          <w:sz w:val="34"/>
          <w:rtl/>
        </w:rPr>
        <w:t xml:space="preserve">یکی از مشکلات ایشان در روش بحث آن است که گاهی برای یک متن، تفسیری ارائه می‌شود بدون آنکه برای این تفسیر، شاهد و دلیلی ارائه شود و در ادامه سایر مباحث بر اساس آن تفسیر، مورد تحلیل قرار گرفته است. </w:t>
      </w:r>
    </w:p>
    <w:p w14:paraId="5F7EDE48" w14:textId="0CB413FB" w:rsidR="00EB5BBB" w:rsidRDefault="00EB5BBB" w:rsidP="00EB5BBB">
      <w:pPr>
        <w:pStyle w:val="Heading2"/>
      </w:pPr>
      <w:bookmarkStart w:id="7" w:name="_Toc218431514"/>
      <w:bookmarkStart w:id="8" w:name="_Toc218544861"/>
      <w:bookmarkStart w:id="9" w:name="_Toc218545409"/>
      <w:bookmarkStart w:id="10" w:name="_Toc218545419"/>
      <w:r>
        <w:rPr>
          <w:rFonts w:hint="cs"/>
          <w:rtl/>
        </w:rPr>
        <w:t>گونه پنجم از گونه‌های متعلق رفع</w:t>
      </w:r>
      <w:bookmarkEnd w:id="7"/>
      <w:bookmarkEnd w:id="8"/>
      <w:bookmarkEnd w:id="9"/>
      <w:bookmarkEnd w:id="10"/>
    </w:p>
    <w:p w14:paraId="7293F953" w14:textId="5CF9354E" w:rsidR="00C74A86" w:rsidRDefault="00476EA6" w:rsidP="007F2825">
      <w:pPr>
        <w:ind w:firstLine="397"/>
        <w:rPr>
          <w:rFonts w:ascii="IRBadr" w:hAnsi="IRBadr" w:cs="IRBadr"/>
          <w:sz w:val="34"/>
          <w:rtl/>
        </w:rPr>
      </w:pPr>
      <w:r>
        <w:rPr>
          <w:rFonts w:ascii="IRBadr" w:hAnsi="IRBadr" w:cs="IRBadr" w:hint="cs"/>
          <w:sz w:val="34"/>
          <w:rtl/>
        </w:rPr>
        <w:t>به عبارت زیر که مربوط به گونه پنجم از متعلق رفع است توجه کنید:</w:t>
      </w:r>
    </w:p>
    <w:p w14:paraId="09079D79" w14:textId="27805792" w:rsidR="008B225D" w:rsidRDefault="008B225D" w:rsidP="00476EA6">
      <w:pPr>
        <w:ind w:firstLine="397"/>
        <w:rPr>
          <w:rFonts w:ascii="IRBadr" w:hAnsi="IRBadr" w:cs="IRBadr"/>
          <w:sz w:val="34"/>
          <w:rtl/>
        </w:rPr>
      </w:pPr>
      <w:r w:rsidRPr="008B225D">
        <w:rPr>
          <w:rFonts w:ascii="IRBadr" w:hAnsi="IRBadr" w:cs="IRBadr" w:hint="cs"/>
          <w:color w:val="000080"/>
          <w:sz w:val="34"/>
          <w:rtl/>
        </w:rPr>
        <w:t>«گونه پنجم</w:t>
      </w:r>
      <w:r w:rsidR="00666FCE">
        <w:rPr>
          <w:rFonts w:ascii="IRBadr" w:hAnsi="IRBadr" w:cs="IRBadr" w:hint="cs"/>
          <w:color w:val="000080"/>
          <w:sz w:val="34"/>
          <w:rtl/>
        </w:rPr>
        <w:t>:</w:t>
      </w:r>
      <w:r w:rsidRPr="008B225D">
        <w:rPr>
          <w:rFonts w:ascii="IRBadr" w:hAnsi="IRBadr" w:cs="IRBadr" w:hint="cs"/>
          <w:color w:val="000080"/>
          <w:sz w:val="34"/>
          <w:rtl/>
        </w:rPr>
        <w:t xml:space="preserve"> تعلق رفع و وضع و مشابهاتش به امر نامطلوب به لحاظ برداشته‌شدن عواقب آن</w:t>
      </w:r>
      <w:r w:rsidR="00666FCE">
        <w:rPr>
          <w:rFonts w:ascii="IRBadr" w:hAnsi="IRBadr" w:cs="IRBadr" w:hint="cs"/>
          <w:color w:val="000080"/>
          <w:sz w:val="34"/>
          <w:rtl/>
        </w:rPr>
        <w:t xml:space="preserve"> همانند </w:t>
      </w:r>
      <w:r w:rsidR="00666FCE" w:rsidRPr="009D7C41">
        <w:rPr>
          <w:rFonts w:ascii="IRBadr" w:hAnsi="IRBadr" w:cs="IRBadr"/>
          <w:color w:val="008000"/>
          <w:sz w:val="34"/>
          <w:rtl/>
        </w:rPr>
        <w:t>«إِنَّ اللَّهَ قَدْ وَضَعَ عَنِ الْجَاهِلِيَّةِ مَا عَمِلُوا، فَاسْتَأْنِفْ عَمَلَكَ‌»</w:t>
      </w:r>
      <w:r w:rsidR="00666FCE">
        <w:rPr>
          <w:rStyle w:val="FootnoteReference"/>
          <w:rFonts w:ascii="IRBadr" w:hAnsi="IRBadr" w:cs="IRBadr"/>
          <w:color w:val="000080"/>
          <w:sz w:val="34"/>
          <w:rtl/>
        </w:rPr>
        <w:footnoteReference w:id="1"/>
      </w:r>
      <w:r w:rsidR="00666FCE">
        <w:rPr>
          <w:rFonts w:ascii="IRBadr" w:hAnsi="IRBadr" w:cs="IRBadr" w:hint="cs"/>
          <w:color w:val="000080"/>
          <w:sz w:val="34"/>
          <w:rtl/>
        </w:rPr>
        <w:t xml:space="preserve">. عبارت از اعمال نامطلوب جاهلیت و برداشتن آن سخن به میان آورده است که مراد از برداشتن به تناسب مورد، نفی ترتب عواقب و نتایج سنگین ناشی از این اعمال است که البته فرد بارز آن عقوبت اخروی است. به نظر می‌رسد در عبارت </w:t>
      </w:r>
      <w:r w:rsidR="00142B13" w:rsidRPr="009D7C41">
        <w:rPr>
          <w:rFonts w:ascii="IRBadr" w:hAnsi="IRBadr" w:cs="IRBadr" w:hint="cs"/>
          <w:color w:val="008000"/>
          <w:sz w:val="34"/>
          <w:rtl/>
        </w:rPr>
        <w:t>«</w:t>
      </w:r>
      <w:r w:rsidR="00476EA6" w:rsidRPr="009D7C41">
        <w:rPr>
          <w:rFonts w:ascii="IRBadr" w:hAnsi="IRBadr" w:cs="IRBadr"/>
          <w:color w:val="008000"/>
          <w:sz w:val="34"/>
          <w:rtl/>
        </w:rPr>
        <w:t xml:space="preserve">أَنَّ حَجَّامًا يُقَالُ لَهُ أَبُو طَيْبَةَ حَجَمَ رَسُولَ اللّٰهِ صَلَّى اللّٰهُ عَلَيه وَ سَلَّم فَأَعْطَاهُ أَجْرَهُ و حط لَهُ مِنْ عَمَلِهِ‌، أَوْ وَضَعَ عَنْهُ طَائِفَةً مِنْ </w:t>
      </w:r>
      <w:r w:rsidR="00142B13" w:rsidRPr="009D7C41">
        <w:rPr>
          <w:rFonts w:ascii="IRBadr" w:hAnsi="IRBadr" w:cs="IRBadr"/>
          <w:color w:val="008000"/>
          <w:sz w:val="34"/>
          <w:rtl/>
        </w:rPr>
        <w:t>عَمَلِهِ‌، أَوْ وَضَعَ عَنْهُ طَائِفَةً مِنْ عَمَلِهِ‌</w:t>
      </w:r>
      <w:r w:rsidR="00142B13" w:rsidRPr="009D7C41">
        <w:rPr>
          <w:rFonts w:ascii="IRBadr" w:hAnsi="IRBadr" w:cs="IRBadr" w:hint="cs"/>
          <w:color w:val="008000"/>
          <w:sz w:val="34"/>
          <w:rtl/>
        </w:rPr>
        <w:t>»</w:t>
      </w:r>
      <w:r w:rsidR="00476EA6">
        <w:rPr>
          <w:rStyle w:val="FootnoteReference"/>
          <w:rFonts w:ascii="IRBadr" w:hAnsi="IRBadr" w:cs="IRBadr"/>
          <w:color w:val="000080"/>
          <w:sz w:val="34"/>
          <w:rtl/>
        </w:rPr>
        <w:footnoteReference w:id="2"/>
      </w:r>
      <w:r w:rsidR="00142B13">
        <w:rPr>
          <w:rFonts w:ascii="IRBadr" w:hAnsi="IRBadr" w:cs="IRBadr" w:hint="cs"/>
          <w:color w:val="000080"/>
          <w:sz w:val="34"/>
          <w:rtl/>
        </w:rPr>
        <w:t xml:space="preserve"> </w:t>
      </w:r>
      <w:r w:rsidR="00666FCE">
        <w:rPr>
          <w:rFonts w:ascii="IRBadr" w:hAnsi="IRBadr" w:cs="IRBadr" w:hint="cs"/>
          <w:color w:val="000080"/>
          <w:sz w:val="34"/>
          <w:rtl/>
        </w:rPr>
        <w:lastRenderedPageBreak/>
        <w:t xml:space="preserve">مراد از وضع این است که شخص حجامت کننده به واسطه حجامتی که برای نبی اکرم (ص) انجام داده بخشی از اعمال نامطلوبش از وی برداشته شده و عواقب نامطلوب آن را </w:t>
      </w:r>
      <w:r w:rsidR="00142B13">
        <w:rPr>
          <w:rFonts w:ascii="IRBadr" w:hAnsi="IRBadr" w:cs="IRBadr"/>
          <w:color w:val="000080"/>
          <w:sz w:val="34"/>
        </w:rPr>
        <w:t>‌</w:t>
      </w:r>
      <w:r w:rsidR="00666FCE">
        <w:rPr>
          <w:rFonts w:ascii="IRBadr" w:hAnsi="IRBadr" w:cs="IRBadr" w:hint="cs"/>
          <w:color w:val="000080"/>
          <w:sz w:val="34"/>
          <w:rtl/>
        </w:rPr>
        <w:t>نخواهد دید که البته فرد روشن آن مواخذات اخروی است</w:t>
      </w:r>
      <w:r w:rsidRPr="008B225D">
        <w:rPr>
          <w:rFonts w:ascii="IRBadr" w:hAnsi="IRBadr" w:cs="IRBadr" w:hint="cs"/>
          <w:color w:val="000080"/>
          <w:sz w:val="34"/>
          <w:rtl/>
        </w:rPr>
        <w:t>»</w:t>
      </w:r>
      <w:r w:rsidR="00142B13">
        <w:rPr>
          <w:rStyle w:val="FootnoteReference"/>
          <w:rFonts w:ascii="IRBadr" w:hAnsi="IRBadr" w:cs="IRBadr"/>
          <w:color w:val="008000"/>
          <w:sz w:val="34"/>
          <w:rtl/>
        </w:rPr>
        <w:footnoteReference w:id="3"/>
      </w:r>
      <w:r>
        <w:rPr>
          <w:rFonts w:ascii="IRBadr" w:hAnsi="IRBadr" w:cs="IRBadr" w:hint="cs"/>
          <w:sz w:val="34"/>
          <w:rtl/>
        </w:rPr>
        <w:t>.</w:t>
      </w:r>
    </w:p>
    <w:p w14:paraId="298882E0" w14:textId="0637E3FD" w:rsidR="008B225D" w:rsidRDefault="008B225D" w:rsidP="00476EA6">
      <w:pPr>
        <w:ind w:firstLine="397"/>
        <w:rPr>
          <w:rFonts w:ascii="IRBadr" w:hAnsi="IRBadr" w:cs="IRBadr"/>
          <w:sz w:val="34"/>
          <w:rtl/>
        </w:rPr>
      </w:pPr>
      <w:r>
        <w:rPr>
          <w:rFonts w:ascii="IRBadr" w:hAnsi="IRBadr" w:cs="IRBadr" w:hint="cs"/>
          <w:sz w:val="34"/>
          <w:rtl/>
        </w:rPr>
        <w:t>ایشان بیان کرده که</w:t>
      </w:r>
      <w:r w:rsidR="00476EA6">
        <w:rPr>
          <w:rFonts w:ascii="IRBadr" w:hAnsi="IRBadr" w:cs="IRBadr" w:hint="cs"/>
          <w:sz w:val="34"/>
          <w:rtl/>
        </w:rPr>
        <w:t xml:space="preserve"> این دو موردی که در سنن دارمی و مسند بزار</w:t>
      </w:r>
      <w:r w:rsidR="009D7C41">
        <w:rPr>
          <w:rFonts w:ascii="IRBadr" w:hAnsi="IRBadr" w:cs="IRBadr" w:hint="cs"/>
          <w:sz w:val="34"/>
          <w:rtl/>
        </w:rPr>
        <w:t xml:space="preserve"> وارد شده</w:t>
      </w:r>
      <w:r w:rsidR="00476EA6">
        <w:rPr>
          <w:rFonts w:ascii="IRBadr" w:hAnsi="IRBadr" w:cs="IRBadr" w:hint="cs"/>
          <w:sz w:val="34"/>
          <w:rtl/>
        </w:rPr>
        <w:t>، متعلق رفع در آنها مطلق عواقب است.</w:t>
      </w:r>
      <w:r>
        <w:rPr>
          <w:rFonts w:ascii="IRBadr" w:hAnsi="IRBadr" w:cs="IRBadr" w:hint="cs"/>
          <w:sz w:val="34"/>
          <w:rtl/>
        </w:rPr>
        <w:t xml:space="preserve"> ایشان هیچ دلیلی بر این مدعا اقامه نکرده</w:t>
      </w:r>
      <w:r w:rsidR="00476EA6">
        <w:rPr>
          <w:rFonts w:ascii="IRBadr" w:hAnsi="IRBadr" w:cs="IRBadr" w:hint="cs"/>
          <w:sz w:val="34"/>
          <w:rtl/>
        </w:rPr>
        <w:t xml:space="preserve"> است. این موارد</w:t>
      </w:r>
      <w:r>
        <w:rPr>
          <w:rFonts w:ascii="IRBadr" w:hAnsi="IRBadr" w:cs="IRBadr" w:hint="cs"/>
          <w:sz w:val="34"/>
          <w:rtl/>
        </w:rPr>
        <w:t xml:space="preserve"> با رفع مواخذه هم سازگار است.</w:t>
      </w:r>
      <w:r w:rsidR="00476EA6">
        <w:rPr>
          <w:rFonts w:ascii="IRBadr" w:hAnsi="IRBadr" w:cs="IRBadr" w:hint="cs"/>
          <w:sz w:val="34"/>
          <w:rtl/>
        </w:rPr>
        <w:t xml:space="preserve"> در مقاله آقای عطارمنش</w:t>
      </w:r>
      <w:r>
        <w:rPr>
          <w:rFonts w:ascii="IRBadr" w:hAnsi="IRBadr" w:cs="IRBadr" w:hint="cs"/>
          <w:sz w:val="34"/>
          <w:rtl/>
        </w:rPr>
        <w:t xml:space="preserve"> </w:t>
      </w:r>
      <w:r w:rsidR="00476EA6">
        <w:rPr>
          <w:rFonts w:ascii="IRBadr" w:hAnsi="IRBadr" w:cs="IRBadr" w:hint="cs"/>
          <w:sz w:val="34"/>
          <w:rtl/>
        </w:rPr>
        <w:t xml:space="preserve">در ادامه مباحث چنین آمده است: </w:t>
      </w:r>
      <w:r w:rsidR="00476EA6" w:rsidRPr="00476EA6">
        <w:rPr>
          <w:rFonts w:ascii="IRBadr" w:hAnsi="IRBadr" w:cs="IRBadr" w:hint="cs"/>
          <w:color w:val="000080"/>
          <w:sz w:val="34"/>
          <w:rtl/>
        </w:rPr>
        <w:t>«همانطور که در گونه پنجم از استعمالات گفته شد، استعمالات مرب</w:t>
      </w:r>
      <w:r w:rsidR="00C22AC4">
        <w:rPr>
          <w:rFonts w:ascii="IRBadr" w:hAnsi="IRBadr" w:cs="IRBadr" w:hint="cs"/>
          <w:color w:val="000080"/>
          <w:sz w:val="34"/>
          <w:rtl/>
        </w:rPr>
        <w:t>وط</w:t>
      </w:r>
      <w:r w:rsidR="00476EA6" w:rsidRPr="00476EA6">
        <w:rPr>
          <w:rFonts w:ascii="IRBadr" w:hAnsi="IRBadr" w:cs="IRBadr" w:hint="cs"/>
          <w:color w:val="000080"/>
          <w:sz w:val="34"/>
          <w:rtl/>
        </w:rPr>
        <w:t xml:space="preserve"> به تعلق رفع به امور نامطلوب به معنای رفع عواقب آن امر نامطلوب است»</w:t>
      </w:r>
      <w:r w:rsidR="00476EA6">
        <w:rPr>
          <w:rStyle w:val="FootnoteReference"/>
          <w:rFonts w:ascii="IRBadr" w:hAnsi="IRBadr" w:cs="IRBadr"/>
          <w:color w:val="008000"/>
          <w:sz w:val="34"/>
          <w:rtl/>
        </w:rPr>
        <w:footnoteReference w:id="4"/>
      </w:r>
      <w:r w:rsidR="00476EA6">
        <w:rPr>
          <w:rFonts w:ascii="IRBadr" w:hAnsi="IRBadr" w:cs="IRBadr" w:hint="cs"/>
          <w:sz w:val="34"/>
          <w:rtl/>
        </w:rPr>
        <w:t>.</w:t>
      </w:r>
      <w:r w:rsidR="00C22AC4">
        <w:rPr>
          <w:rFonts w:ascii="IRBadr" w:hAnsi="IRBadr" w:cs="IRBadr" w:hint="cs"/>
          <w:sz w:val="34"/>
          <w:rtl/>
        </w:rPr>
        <w:t xml:space="preserve"> </w:t>
      </w:r>
      <w:r w:rsidR="0085019F">
        <w:rPr>
          <w:rFonts w:ascii="IRBadr" w:hAnsi="IRBadr" w:cs="IRBadr" w:hint="cs"/>
          <w:sz w:val="34"/>
          <w:rtl/>
        </w:rPr>
        <w:t xml:space="preserve">این سخن </w:t>
      </w:r>
      <w:r w:rsidR="00C22AC4">
        <w:rPr>
          <w:rFonts w:ascii="IRBadr" w:hAnsi="IRBadr" w:cs="IRBadr" w:hint="cs"/>
          <w:sz w:val="34"/>
          <w:rtl/>
        </w:rPr>
        <w:t>بدون اینکه تحلیل و بیانی بر مطلب ذکر شود ادعا شده است. آنچه ایشان نسبت به وضع از جاهلیت ذکر کرده با رفع مواخذه هم سازگار است. همچنین مطلبی که ایشان از حجام پیامبر (ص) نقل نموده نیز با رفع مواخذه سازگار است. البته بعید نیست در این مورد</w:t>
      </w:r>
      <w:r w:rsidR="00C44C09">
        <w:rPr>
          <w:rFonts w:ascii="IRBadr" w:hAnsi="IRBadr" w:cs="IRBadr" w:hint="cs"/>
          <w:sz w:val="34"/>
          <w:rtl/>
        </w:rPr>
        <w:t xml:space="preserve"> </w:t>
      </w:r>
      <w:r w:rsidR="00C22AC4">
        <w:rPr>
          <w:rFonts w:ascii="IRBadr" w:hAnsi="IRBadr" w:cs="IRBadr" w:hint="cs"/>
          <w:sz w:val="34"/>
          <w:rtl/>
        </w:rPr>
        <w:t>رفع بخشی از گناهان حجام هم مورد نظر باشد. البته برای روشن شدن بحث باید مراجعه نمود و بررسی کرد، ولی صرف همین مطلبی که در مقاله نقل شده دال بر مدعای ایشان نیست.</w:t>
      </w:r>
      <w:r w:rsidR="000A5388">
        <w:rPr>
          <w:rFonts w:ascii="IRBadr" w:hAnsi="IRBadr" w:cs="IRBadr" w:hint="cs"/>
          <w:sz w:val="34"/>
          <w:rtl/>
        </w:rPr>
        <w:t xml:space="preserve"> در این نقل وارد شده که پیامبر (ص) قسمتی از گناهان وی را کم کرد. این قسمت، ممکن است تنها عقوبت باشد، و قدر متیقن آن، مواخذه است.</w:t>
      </w:r>
      <w:r w:rsidR="00A5202C">
        <w:rPr>
          <w:rFonts w:ascii="IRBadr" w:hAnsi="IRBadr" w:cs="IRBadr" w:hint="cs"/>
          <w:sz w:val="34"/>
          <w:rtl/>
        </w:rPr>
        <w:t xml:space="preserve"> شیخ انصاری بیان نموده که متعلق رفع، خصوص مواخذه است. این دو مورد </w:t>
      </w:r>
      <w:r w:rsidR="001F001C">
        <w:rPr>
          <w:rFonts w:ascii="IRBadr" w:hAnsi="IRBadr" w:cs="IRBadr" w:hint="cs"/>
          <w:sz w:val="34"/>
          <w:rtl/>
        </w:rPr>
        <w:t xml:space="preserve">بدین مقدار از بیان که به آن اکتفا شده </w:t>
      </w:r>
      <w:r w:rsidR="00A5202C">
        <w:rPr>
          <w:rFonts w:ascii="IRBadr" w:hAnsi="IRBadr" w:cs="IRBadr" w:hint="cs"/>
          <w:sz w:val="34"/>
          <w:rtl/>
        </w:rPr>
        <w:t>نمی‌تواند شاهد بر رد سخن مرحوم شیخ باشد.</w:t>
      </w:r>
    </w:p>
    <w:p w14:paraId="0086F671" w14:textId="77777777" w:rsidR="00AD2DD9" w:rsidRDefault="0064046C" w:rsidP="00AD2DD9">
      <w:pPr>
        <w:ind w:firstLine="397"/>
        <w:rPr>
          <w:rFonts w:ascii="IRBadr" w:hAnsi="IRBadr" w:cs="IRBadr"/>
          <w:sz w:val="34"/>
          <w:rtl/>
        </w:rPr>
      </w:pPr>
      <w:r w:rsidRPr="00204276">
        <w:rPr>
          <w:rFonts w:ascii="IRBadr" w:hAnsi="IRBadr" w:cs="IRBadr" w:hint="cs"/>
          <w:b/>
          <w:bCs/>
          <w:color w:val="FF0000"/>
          <w:sz w:val="34"/>
          <w:rtl/>
        </w:rPr>
        <w:t>سوال شاگرد</w:t>
      </w:r>
      <w:r w:rsidRPr="00204276">
        <w:rPr>
          <w:rFonts w:ascii="IRBadr" w:hAnsi="IRBadr" w:cs="IRBadr" w:hint="cs"/>
          <w:color w:val="FF0000"/>
          <w:sz w:val="34"/>
          <w:rtl/>
        </w:rPr>
        <w:t>:</w:t>
      </w:r>
      <w:r w:rsidR="008F0D7C">
        <w:rPr>
          <w:rFonts w:ascii="IRBadr" w:hAnsi="IRBadr" w:cs="IRBadr" w:hint="cs"/>
          <w:sz w:val="34"/>
          <w:rtl/>
        </w:rPr>
        <w:t xml:space="preserve"> در برخی نقل‌های عامه در مورد حجامت رسول الله (ص) </w:t>
      </w:r>
      <w:r>
        <w:rPr>
          <w:rFonts w:ascii="IRBadr" w:hAnsi="IRBadr" w:cs="IRBadr" w:hint="cs"/>
          <w:sz w:val="34"/>
          <w:rtl/>
        </w:rPr>
        <w:t xml:space="preserve"> </w:t>
      </w:r>
      <w:r w:rsidR="008F0D7C">
        <w:rPr>
          <w:rFonts w:ascii="IRBadr" w:hAnsi="IRBadr" w:cs="IRBadr" w:hint="cs"/>
          <w:sz w:val="34"/>
          <w:rtl/>
        </w:rPr>
        <w:t>روایاتی وارد شده که ممکن است توضیح مطلب آقای عطارمنش باشد</w:t>
      </w:r>
      <w:r w:rsidR="00AD2DD9">
        <w:rPr>
          <w:rFonts w:ascii="IRBadr" w:hAnsi="IRBadr" w:cs="IRBadr" w:hint="cs"/>
          <w:sz w:val="34"/>
          <w:rtl/>
        </w:rPr>
        <w:t>. چند مورد از آنها به شرح زیر است:</w:t>
      </w:r>
      <w:r w:rsidR="008F0D7C">
        <w:rPr>
          <w:rFonts w:ascii="IRBadr" w:hAnsi="IRBadr" w:cs="IRBadr" w:hint="cs"/>
          <w:sz w:val="34"/>
          <w:rtl/>
        </w:rPr>
        <w:t xml:space="preserve"> </w:t>
      </w:r>
    </w:p>
    <w:p w14:paraId="7A6D2A43" w14:textId="3DD415FE" w:rsidR="00AD2DD9" w:rsidRDefault="00AD2DD9" w:rsidP="00AD2DD9">
      <w:pPr>
        <w:ind w:firstLine="397"/>
        <w:rPr>
          <w:rFonts w:ascii="IRBadr" w:hAnsi="IRBadr" w:cs="IRBadr"/>
          <w:sz w:val="34"/>
          <w:rtl/>
        </w:rPr>
      </w:pPr>
      <w:r w:rsidRPr="00AD2DD9">
        <w:rPr>
          <w:rFonts w:ascii="IRBadr" w:hAnsi="IRBadr" w:cs="IRBadr" w:hint="cs"/>
          <w:b/>
          <w:bCs/>
          <w:sz w:val="34"/>
          <w:rtl/>
        </w:rPr>
        <w:t xml:space="preserve">اول: </w:t>
      </w:r>
      <w:r w:rsidR="008F0D7C" w:rsidRPr="000C65F4">
        <w:rPr>
          <w:rFonts w:ascii="IRBadr" w:hAnsi="IRBadr" w:cs="IRBadr" w:hint="cs"/>
          <w:color w:val="008000"/>
          <w:sz w:val="34"/>
          <w:rtl/>
        </w:rPr>
        <w:t>«</w:t>
      </w:r>
      <w:r w:rsidR="008F0D7C" w:rsidRPr="000C65F4">
        <w:rPr>
          <w:rFonts w:ascii="IRBadr" w:hAnsi="IRBadr" w:cs="IRBadr"/>
          <w:color w:val="008000"/>
          <w:sz w:val="34"/>
          <w:rtl/>
        </w:rPr>
        <w:t>أَنَّ رَسُولَ اللّٰهِ صَلَّى اللّٰهُ عَلَيْهِ وَ سَلَّمَ قَدِ احْتَجَمَ فَأَمَرَ الْحَجَّامَ بِصَاعٍ مِنْ طَعَامٍ وَ أَمَرَ مَوَالِيَهُ أَنْ يُخَفِّفُوا عَنْهُ مِنَ الْخَرَاجِ شَيْئًا</w:t>
      </w:r>
      <w:r w:rsidR="008F0D7C" w:rsidRPr="000C65F4">
        <w:rPr>
          <w:rFonts w:ascii="IRBadr" w:hAnsi="IRBadr" w:cs="IRBadr" w:hint="cs"/>
          <w:color w:val="008000"/>
          <w:sz w:val="34"/>
          <w:rtl/>
        </w:rPr>
        <w:t>»</w:t>
      </w:r>
      <w:r w:rsidR="008F0D7C">
        <w:rPr>
          <w:rStyle w:val="FootnoteReference"/>
          <w:rFonts w:ascii="IRBadr" w:hAnsi="IRBadr" w:cs="IRBadr"/>
          <w:sz w:val="34"/>
          <w:rtl/>
        </w:rPr>
        <w:footnoteReference w:id="5"/>
      </w:r>
      <w:r w:rsidR="000C65F4">
        <w:rPr>
          <w:rFonts w:ascii="IRBadr" w:hAnsi="IRBadr" w:cs="IRBadr" w:hint="cs"/>
          <w:sz w:val="34"/>
          <w:rtl/>
        </w:rPr>
        <w:t xml:space="preserve"> </w:t>
      </w:r>
    </w:p>
    <w:p w14:paraId="483D8B94" w14:textId="77777777" w:rsidR="00AD2DD9" w:rsidRDefault="00AD2DD9" w:rsidP="00AD2DD9">
      <w:pPr>
        <w:ind w:firstLine="397"/>
        <w:rPr>
          <w:rFonts w:ascii="IRBadr" w:hAnsi="IRBadr" w:cs="IRBadr"/>
          <w:sz w:val="34"/>
          <w:rtl/>
        </w:rPr>
      </w:pPr>
      <w:r w:rsidRPr="00AD2DD9">
        <w:rPr>
          <w:rFonts w:ascii="IRBadr" w:hAnsi="IRBadr" w:cs="IRBadr" w:hint="cs"/>
          <w:b/>
          <w:bCs/>
          <w:sz w:val="34"/>
          <w:rtl/>
        </w:rPr>
        <w:t xml:space="preserve">دوم: </w:t>
      </w:r>
      <w:r w:rsidR="000C65F4" w:rsidRPr="000C65F4">
        <w:rPr>
          <w:rFonts w:ascii="IRBadr" w:hAnsi="IRBadr" w:cs="IRBadr" w:hint="cs"/>
          <w:color w:val="008000"/>
          <w:sz w:val="34"/>
          <w:rtl/>
        </w:rPr>
        <w:t>«</w:t>
      </w:r>
      <w:r w:rsidR="000C65F4" w:rsidRPr="000C65F4">
        <w:rPr>
          <w:rFonts w:ascii="IRBadr" w:hAnsi="IRBadr" w:cs="IRBadr"/>
          <w:color w:val="008000"/>
          <w:sz w:val="34"/>
          <w:rtl/>
        </w:rPr>
        <w:t>أَنَّ رَسُولَ اللّٰهِ صَلَّى اللّٰهُ عَلَيْهِ وَ سَلَّمَ دَعَا أَبَا طَيْبَةَ الْحَجَّامَ فَحَجَمَهُ فَسَأَلَهُ‌: «كَمْ ضَرِيبَتُكَ‌» فَقَالَ‌: ثَلَاثَةُ أَصْوُعٍ‌ فَوَضَعَ عَنْهُ صَاعًا مِنْهَا</w:t>
      </w:r>
      <w:r w:rsidR="000C65F4" w:rsidRPr="000C65F4">
        <w:rPr>
          <w:rFonts w:ascii="IRBadr" w:hAnsi="IRBadr" w:cs="IRBadr" w:hint="cs"/>
          <w:color w:val="008000"/>
          <w:sz w:val="34"/>
          <w:rtl/>
        </w:rPr>
        <w:t>»</w:t>
      </w:r>
      <w:r w:rsidR="000C65F4">
        <w:rPr>
          <w:rStyle w:val="FootnoteReference"/>
          <w:rFonts w:ascii="IRBadr" w:hAnsi="IRBadr" w:cs="IRBadr"/>
          <w:sz w:val="34"/>
          <w:rtl/>
        </w:rPr>
        <w:footnoteReference w:id="6"/>
      </w:r>
      <w:r>
        <w:rPr>
          <w:rFonts w:ascii="IRBadr" w:hAnsi="IRBadr" w:cs="IRBadr" w:hint="cs"/>
          <w:sz w:val="34"/>
          <w:rtl/>
        </w:rPr>
        <w:t xml:space="preserve"> </w:t>
      </w:r>
    </w:p>
    <w:p w14:paraId="4AF4B54E" w14:textId="756B2FDE" w:rsidR="008F0D7C" w:rsidRDefault="00AD2DD9" w:rsidP="00AD2DD9">
      <w:pPr>
        <w:ind w:firstLine="397"/>
        <w:rPr>
          <w:rFonts w:ascii="IRBadr" w:hAnsi="IRBadr" w:cs="IRBadr"/>
          <w:sz w:val="34"/>
          <w:rtl/>
        </w:rPr>
      </w:pPr>
      <w:r w:rsidRPr="00AD2DD9">
        <w:rPr>
          <w:rFonts w:ascii="IRBadr" w:hAnsi="IRBadr" w:cs="IRBadr" w:hint="cs"/>
          <w:b/>
          <w:bCs/>
          <w:sz w:val="34"/>
          <w:rtl/>
        </w:rPr>
        <w:t xml:space="preserve">سوم: </w:t>
      </w:r>
      <w:r w:rsidRPr="00AD2DD9">
        <w:rPr>
          <w:rFonts w:ascii="IRBadr" w:hAnsi="IRBadr" w:cs="IRBadr" w:hint="cs"/>
          <w:color w:val="008000"/>
          <w:sz w:val="34"/>
          <w:rtl/>
        </w:rPr>
        <w:t>«</w:t>
      </w:r>
      <w:r w:rsidRPr="00AD2DD9">
        <w:rPr>
          <w:rFonts w:ascii="IRBadr" w:hAnsi="IRBadr" w:cs="IRBadr"/>
          <w:color w:val="008000"/>
          <w:sz w:val="34"/>
          <w:rtl/>
        </w:rPr>
        <w:t>احْتَجَمَ رَسُولُ اللّٰهِ صَلَّى اللّٰهُ عَلَيْهِ وَ سَلَّمَ حَجَمَهُ أَبُو طَيْبَةَ الْحَجَّامُ فَأَمَرَ لَهُ رَسُولُ اللّٰهِ صَلَّى اللّٰهُ عَلَيْهِ وَ سَلَّمَ بِصَاعَيْنِ مِنْ طَعَامٍ و كلم مَوَالِيَهُ لِيُخَفِّفُوا عَنْهُ مِنْ غَلَّتِهِ شَيْئًا فَفَعَلُوا ذَلِكَ‌</w:t>
      </w:r>
      <w:r w:rsidRPr="00AD2DD9">
        <w:rPr>
          <w:rFonts w:ascii="IRBadr" w:hAnsi="IRBadr" w:cs="IRBadr" w:hint="cs"/>
          <w:color w:val="008000"/>
          <w:sz w:val="34"/>
          <w:rtl/>
        </w:rPr>
        <w:t>»</w:t>
      </w:r>
      <w:r>
        <w:rPr>
          <w:rStyle w:val="FootnoteReference"/>
          <w:rFonts w:ascii="IRBadr" w:hAnsi="IRBadr" w:cs="IRBadr"/>
          <w:sz w:val="34"/>
          <w:rtl/>
        </w:rPr>
        <w:footnoteReference w:id="7"/>
      </w:r>
      <w:r w:rsidRPr="00AD2DD9">
        <w:rPr>
          <w:rFonts w:ascii="IRBadr" w:hAnsi="IRBadr" w:cs="IRBadr"/>
          <w:sz w:val="34"/>
          <w:rtl/>
        </w:rPr>
        <w:t>.</w:t>
      </w:r>
    </w:p>
    <w:p w14:paraId="2C183F33" w14:textId="3D03FB7B" w:rsidR="00B06989" w:rsidRPr="008F0D7C" w:rsidRDefault="00B06989" w:rsidP="00AD2DD9">
      <w:pPr>
        <w:ind w:firstLine="397"/>
        <w:rPr>
          <w:rFonts w:ascii="IRBadr" w:hAnsi="IRBadr" w:cs="IRBadr"/>
          <w:sz w:val="34"/>
          <w:rtl/>
        </w:rPr>
      </w:pPr>
      <w:r w:rsidRPr="00204276">
        <w:rPr>
          <w:rFonts w:ascii="IRBadr" w:hAnsi="IRBadr" w:cs="IRBadr" w:hint="cs"/>
          <w:b/>
          <w:bCs/>
          <w:color w:val="FF0000"/>
          <w:sz w:val="34"/>
          <w:rtl/>
        </w:rPr>
        <w:t xml:space="preserve">پاسخ استاد: </w:t>
      </w:r>
      <w:r w:rsidR="002345AA">
        <w:rPr>
          <w:rFonts w:ascii="IRBadr" w:hAnsi="IRBadr" w:cs="IRBadr" w:hint="cs"/>
          <w:sz w:val="34"/>
          <w:rtl/>
        </w:rPr>
        <w:t xml:space="preserve">اگر </w:t>
      </w:r>
      <w:r w:rsidR="006F5B6F">
        <w:rPr>
          <w:rFonts w:ascii="IRBadr" w:hAnsi="IRBadr" w:cs="IRBadr" w:hint="cs"/>
          <w:sz w:val="34"/>
          <w:rtl/>
        </w:rPr>
        <w:t>چنین باشد که این روایات مربوط به حجام اصلا مربوط به عواقب عمل نیست و در دسته پنجم -که آقای عطارمنش ادعا کرده- نمی‌گنجد</w:t>
      </w:r>
      <w:r w:rsidR="00B917A4">
        <w:rPr>
          <w:rFonts w:ascii="IRBadr" w:hAnsi="IRBadr" w:cs="IRBadr" w:hint="cs"/>
          <w:sz w:val="34"/>
          <w:rtl/>
        </w:rPr>
        <w:t xml:space="preserve">؛ بلکه مربوط به گونه </w:t>
      </w:r>
      <w:r w:rsidR="00E07F24">
        <w:rPr>
          <w:rFonts w:ascii="IRBadr" w:hAnsi="IRBadr" w:cs="IRBadr" w:hint="cs"/>
          <w:sz w:val="34"/>
          <w:rtl/>
        </w:rPr>
        <w:t>د</w:t>
      </w:r>
      <w:r w:rsidR="00B917A4">
        <w:rPr>
          <w:rFonts w:ascii="IRBadr" w:hAnsi="IRBadr" w:cs="IRBadr" w:hint="cs"/>
          <w:sz w:val="34"/>
          <w:rtl/>
        </w:rPr>
        <w:t xml:space="preserve">ومی است که در کلام ایشان ذکر شده است: </w:t>
      </w:r>
      <w:r w:rsidR="00B917A4" w:rsidRPr="00973264">
        <w:rPr>
          <w:rFonts w:ascii="IRBadr" w:hAnsi="IRBadr" w:cs="IRBadr" w:hint="cs"/>
          <w:color w:val="000080"/>
          <w:sz w:val="34"/>
          <w:rtl/>
        </w:rPr>
        <w:t>«</w:t>
      </w:r>
      <w:r w:rsidR="00E07F24" w:rsidRPr="00E07F24">
        <w:rPr>
          <w:rFonts w:ascii="IRBadr" w:hAnsi="IRBadr" w:cs="IRBadr"/>
          <w:color w:val="000080"/>
          <w:sz w:val="34"/>
          <w:rtl/>
        </w:rPr>
        <w:t>گونه دوم</w:t>
      </w:r>
      <w:r w:rsidR="00E07F24">
        <w:rPr>
          <w:rFonts w:ascii="IRBadr" w:hAnsi="IRBadr" w:cs="IRBadr" w:hint="cs"/>
          <w:color w:val="000080"/>
          <w:sz w:val="34"/>
          <w:rtl/>
        </w:rPr>
        <w:t xml:space="preserve">: </w:t>
      </w:r>
      <w:r w:rsidR="00A013C5" w:rsidRPr="00973264">
        <w:rPr>
          <w:rFonts w:ascii="IRBadr" w:hAnsi="IRBadr" w:cs="IRBadr" w:hint="cs"/>
          <w:color w:val="000080"/>
          <w:sz w:val="34"/>
          <w:rtl/>
        </w:rPr>
        <w:t xml:space="preserve">تعلق </w:t>
      </w:r>
      <w:r w:rsidR="00973264" w:rsidRPr="00973264">
        <w:rPr>
          <w:rFonts w:ascii="IRBadr" w:hAnsi="IRBadr" w:cs="IRBadr" w:hint="cs"/>
          <w:color w:val="000080"/>
          <w:sz w:val="34"/>
          <w:rtl/>
        </w:rPr>
        <w:t>رفع و وضع و شمابهاتش به امری که اگر رفع در میان نبود تکلیف بدان تعلق می‌گرفت و شخص، موظف به انجام آن می‌شد»</w:t>
      </w:r>
      <w:r w:rsidR="00E07F24">
        <w:rPr>
          <w:rStyle w:val="FootnoteReference"/>
          <w:rFonts w:ascii="IRBadr" w:hAnsi="IRBadr" w:cs="IRBadr"/>
          <w:color w:val="000080"/>
          <w:sz w:val="34"/>
          <w:rtl/>
        </w:rPr>
        <w:footnoteReference w:id="8"/>
      </w:r>
      <w:r w:rsidR="00973264">
        <w:rPr>
          <w:rFonts w:ascii="IRBadr" w:hAnsi="IRBadr" w:cs="IRBadr" w:hint="cs"/>
          <w:sz w:val="34"/>
          <w:rtl/>
        </w:rPr>
        <w:t>.</w:t>
      </w:r>
      <w:r w:rsidR="00DB5B42">
        <w:rPr>
          <w:rFonts w:ascii="IRBadr" w:hAnsi="IRBadr" w:cs="IRBadr" w:hint="cs"/>
          <w:sz w:val="34"/>
          <w:rtl/>
        </w:rPr>
        <w:t xml:space="preserve"> یعنی عملی که حجّام باید انجام می‌داد -که پرداخت خراج بود- از او رفع شده است. یا آنکه مثلا خدمتکار برای شخصی بوده که از او انجام برخی کارها را خواسته است. رسول الله (ص) از مولایش درخواست نموده که این کارها از دوش او برداشته شود.</w:t>
      </w:r>
    </w:p>
    <w:p w14:paraId="07DC4CA1" w14:textId="2E9BD39C" w:rsidR="00EB5BBB" w:rsidRDefault="00EB5BBB" w:rsidP="00EB5BBB">
      <w:pPr>
        <w:pStyle w:val="Heading2"/>
        <w:ind w:firstLine="397"/>
      </w:pPr>
      <w:bookmarkStart w:id="11" w:name="_Toc218431515"/>
      <w:bookmarkStart w:id="12" w:name="_Toc218544862"/>
      <w:bookmarkStart w:id="13" w:name="_Toc218545410"/>
      <w:bookmarkStart w:id="14" w:name="_Toc218545420"/>
      <w:r>
        <w:rPr>
          <w:rFonts w:hint="cs"/>
          <w:rtl/>
        </w:rPr>
        <w:lastRenderedPageBreak/>
        <w:t>گونه ششم از گونه‌های متعلق رفع</w:t>
      </w:r>
      <w:bookmarkEnd w:id="11"/>
      <w:bookmarkEnd w:id="12"/>
      <w:bookmarkEnd w:id="13"/>
      <w:bookmarkEnd w:id="14"/>
    </w:p>
    <w:p w14:paraId="5C74C633" w14:textId="77777777" w:rsidR="005A46B8" w:rsidRDefault="00204276" w:rsidP="001640CD">
      <w:pPr>
        <w:ind w:firstLine="397"/>
        <w:rPr>
          <w:rFonts w:ascii="IRBadr" w:hAnsi="IRBadr" w:cs="IRBadr"/>
          <w:sz w:val="34"/>
          <w:rtl/>
        </w:rPr>
      </w:pPr>
      <w:r>
        <w:rPr>
          <w:rFonts w:ascii="IRBadr" w:hAnsi="IRBadr" w:cs="IRBadr" w:hint="cs"/>
          <w:sz w:val="34"/>
          <w:rtl/>
        </w:rPr>
        <w:t xml:space="preserve">آقای عطارمنش در مورد گونه ششم چنین بیان کرده است: </w:t>
      </w:r>
    </w:p>
    <w:p w14:paraId="1306F420" w14:textId="1C8B6781" w:rsidR="00204276" w:rsidRPr="00204276" w:rsidRDefault="005A46B8" w:rsidP="005A46B8">
      <w:pPr>
        <w:ind w:firstLine="397"/>
        <w:rPr>
          <w:rFonts w:ascii="IRBadr" w:hAnsi="IRBadr" w:cs="IRBadr"/>
          <w:sz w:val="34"/>
          <w:rtl/>
        </w:rPr>
      </w:pPr>
      <w:r>
        <w:rPr>
          <w:rFonts w:ascii="IRBadr" w:hAnsi="IRBadr" w:cs="IRBadr" w:hint="cs"/>
          <w:color w:val="000080"/>
          <w:sz w:val="34"/>
          <w:rtl/>
        </w:rPr>
        <w:t>«</w:t>
      </w:r>
      <w:r w:rsidR="00204276" w:rsidRPr="005A46B8">
        <w:rPr>
          <w:rFonts w:ascii="IRBadr" w:hAnsi="IRBadr" w:cs="IRBadr" w:hint="cs"/>
          <w:color w:val="000080"/>
          <w:sz w:val="34"/>
          <w:rtl/>
        </w:rPr>
        <w:t xml:space="preserve">تعلق وضع و رفع و مشابهاتش به معاملات بالمعنی الاعم که به چند نمونه اشاره می‌شود: </w:t>
      </w:r>
      <w:r w:rsidR="00204276" w:rsidRPr="00204276">
        <w:rPr>
          <w:rFonts w:ascii="IRBadr" w:hAnsi="IRBadr" w:cs="IRBadr" w:hint="cs"/>
          <w:color w:val="000080"/>
          <w:sz w:val="34"/>
          <w:rtl/>
        </w:rPr>
        <w:t>«</w:t>
      </w:r>
      <w:r w:rsidR="00204276" w:rsidRPr="00204276">
        <w:rPr>
          <w:rFonts w:ascii="IRBadr" w:hAnsi="IRBadr" w:cs="IRBadr"/>
          <w:color w:val="000080"/>
          <w:sz w:val="34"/>
          <w:rtl/>
        </w:rPr>
        <w:t>عَنْ ابْنِ عَبَّاسٍ‌، قَالَ‌: قَالَ رَسُولُ اللّٰهِ صَلَّى اللّٰهُ عَلَيْهِ وَ سَلَّمَ‌:</w:t>
      </w:r>
      <w:r w:rsidR="00204276" w:rsidRPr="00204276">
        <w:rPr>
          <w:rFonts w:ascii="IRBadr" w:hAnsi="IRBadr" w:cs="IRBadr"/>
          <w:sz w:val="34"/>
          <w:rtl/>
        </w:rPr>
        <w:t xml:space="preserve"> </w:t>
      </w:r>
      <w:r w:rsidR="00204276" w:rsidRPr="00204276">
        <w:rPr>
          <w:rFonts w:ascii="IRBadr" w:hAnsi="IRBadr" w:cs="IRBadr"/>
          <w:color w:val="008000"/>
          <w:sz w:val="34"/>
          <w:rtl/>
        </w:rPr>
        <w:t>«تَجَاوَزَ اللّٰهُ لِي عَنْ أُمَّتِي، الْخَطَأَ وَ النِّسْيَانَ‌، وَ مَا اسْتُكْرِهُوا عَلَيْهِ‌»</w:t>
      </w:r>
      <w:r w:rsidR="00204276" w:rsidRPr="00204276">
        <w:rPr>
          <w:rFonts w:ascii="IRBadr" w:hAnsi="IRBadr" w:cs="IRBadr"/>
          <w:sz w:val="34"/>
          <w:rtl/>
        </w:rPr>
        <w:t>.</w:t>
      </w:r>
      <w:r w:rsidR="001640CD">
        <w:rPr>
          <w:rFonts w:ascii="IRBadr" w:hAnsi="IRBadr" w:cs="IRBadr" w:hint="cs"/>
          <w:sz w:val="34"/>
          <w:rtl/>
        </w:rPr>
        <w:t xml:space="preserve"> </w:t>
      </w:r>
      <w:r w:rsidR="00204276" w:rsidRPr="001640CD">
        <w:rPr>
          <w:rFonts w:ascii="IRBadr" w:hAnsi="IRBadr" w:cs="IRBadr"/>
          <w:color w:val="000080"/>
          <w:sz w:val="34"/>
          <w:rtl/>
        </w:rPr>
        <w:t>قَالَ أَبُو جَعْفَرٍ: فَذَهَبَ قَوْمٌ إِلَى أَنَّ الرَّجُلَ إِذَا أُكْرِهَ عَلَى طَلَاقٍ‌، أَوْ نِكَاحٍ‌، أَوْ يَمِينٍ‌، أَوْ إِعْتَاقٍ‌، أَوْ مَا أَشْبَهَ ذَلِكَ حَتَّى فَعَلَهُ مُكْرَهًا، أَنَّ ذَلِكَ كُلَّهُ بَاطِلٌ‌، لِأَنَّهُ قَدْ دَخَلَ فِيمَا تَجَاوَزَ اللّٰهُ فِيهِ لِلنَّبِيِّ صَلَّى اللّٰهُ عَلَيْهِ وَ سَلَّمَ عَنْ أُمَّتِهِ‌، و احتجوا فِي ذَلِكَ بِهَذَا الْحَدِيثِ</w:t>
      </w:r>
      <w:r w:rsidR="00204276" w:rsidRPr="001640CD">
        <w:rPr>
          <w:rFonts w:ascii="IRBadr" w:hAnsi="IRBadr" w:cs="IRBadr" w:hint="cs"/>
          <w:color w:val="000080"/>
          <w:sz w:val="34"/>
          <w:rtl/>
        </w:rPr>
        <w:t>»</w:t>
      </w:r>
      <w:r w:rsidR="00204276">
        <w:rPr>
          <w:rStyle w:val="FootnoteReference"/>
          <w:rFonts w:ascii="IRBadr" w:hAnsi="IRBadr" w:cs="IRBadr"/>
          <w:sz w:val="34"/>
          <w:rtl/>
        </w:rPr>
        <w:footnoteReference w:id="9"/>
      </w:r>
      <w:r w:rsidR="00204276">
        <w:rPr>
          <w:rFonts w:ascii="IRBadr" w:hAnsi="IRBadr" w:cs="IRBadr" w:hint="cs"/>
          <w:sz w:val="34"/>
          <w:rtl/>
        </w:rPr>
        <w:t>.</w:t>
      </w:r>
      <w:r w:rsidR="00204276" w:rsidRPr="00204276">
        <w:rPr>
          <w:rFonts w:ascii="IRBadr" w:hAnsi="IRBadr" w:cs="IRBadr"/>
          <w:sz w:val="34"/>
          <w:rtl/>
        </w:rPr>
        <w:t xml:space="preserve"> </w:t>
      </w:r>
      <w:r w:rsidR="001640CD" w:rsidRPr="001640CD">
        <w:rPr>
          <w:rFonts w:ascii="IRBadr" w:hAnsi="IRBadr" w:cs="IRBadr" w:hint="cs"/>
          <w:color w:val="000080"/>
          <w:sz w:val="34"/>
          <w:rtl/>
        </w:rPr>
        <w:t>طلاق و نکاح و ... ب</w:t>
      </w:r>
      <w:r w:rsidR="001640CD">
        <w:rPr>
          <w:rFonts w:ascii="IRBadr" w:hAnsi="IRBadr" w:cs="IRBadr" w:hint="cs"/>
          <w:color w:val="000080"/>
          <w:sz w:val="34"/>
          <w:rtl/>
        </w:rPr>
        <w:t>ه</w:t>
      </w:r>
      <w:r w:rsidR="001640CD" w:rsidRPr="001640CD">
        <w:rPr>
          <w:rFonts w:ascii="IRBadr" w:hAnsi="IRBadr" w:cs="IRBadr" w:hint="cs"/>
          <w:color w:val="000080"/>
          <w:sz w:val="34"/>
          <w:rtl/>
        </w:rPr>
        <w:t xml:space="preserve"> عنوان عقود و ایقاعاتی که همره با اکراه‌اند فاقد اثر دانسته شده و برای اثبات مطلب به حدیث رفع تمسک شده است</w:t>
      </w:r>
      <w:r w:rsidR="001640CD">
        <w:rPr>
          <w:rFonts w:ascii="IRBadr" w:hAnsi="IRBadr" w:cs="IRBadr" w:hint="cs"/>
          <w:color w:val="000080"/>
          <w:sz w:val="34"/>
          <w:rtl/>
        </w:rPr>
        <w:t>،</w:t>
      </w:r>
      <w:r w:rsidR="001640CD" w:rsidRPr="001640CD">
        <w:rPr>
          <w:rFonts w:ascii="IRBadr" w:hAnsi="IRBadr" w:cs="IRBadr" w:hint="cs"/>
          <w:color w:val="000080"/>
          <w:sz w:val="34"/>
          <w:rtl/>
        </w:rPr>
        <w:t xml:space="preserve"> و این تمسک شاهدی بر عرفی ‌بودن استعمال رفع و وضع و مشابهاتش در برداشتن آثار وضعی دارای ثقل است</w:t>
      </w:r>
      <w:r w:rsidR="001640CD">
        <w:rPr>
          <w:rFonts w:ascii="IRBadr" w:hAnsi="IRBadr" w:cs="IRBadr" w:hint="cs"/>
          <w:sz w:val="34"/>
          <w:rtl/>
        </w:rPr>
        <w:t>»</w:t>
      </w:r>
      <w:r w:rsidR="001640CD">
        <w:rPr>
          <w:rStyle w:val="FootnoteReference"/>
          <w:rFonts w:ascii="IRBadr" w:hAnsi="IRBadr" w:cs="IRBadr"/>
          <w:sz w:val="34"/>
          <w:rtl/>
        </w:rPr>
        <w:footnoteReference w:id="10"/>
      </w:r>
      <w:r w:rsidR="001640CD">
        <w:rPr>
          <w:rFonts w:ascii="IRBadr" w:hAnsi="IRBadr" w:cs="IRBadr" w:hint="cs"/>
          <w:sz w:val="34"/>
          <w:rtl/>
        </w:rPr>
        <w:t>.</w:t>
      </w:r>
    </w:p>
    <w:p w14:paraId="718E775B" w14:textId="2B11DD77" w:rsidR="0014065D" w:rsidRDefault="005A46B8" w:rsidP="000D2750">
      <w:pPr>
        <w:ind w:firstLine="397"/>
        <w:rPr>
          <w:rFonts w:ascii="IRBadr" w:hAnsi="IRBadr" w:cs="IRBadr"/>
          <w:sz w:val="34"/>
          <w:rtl/>
        </w:rPr>
      </w:pPr>
      <w:r>
        <w:rPr>
          <w:rFonts w:ascii="IRBadr" w:hAnsi="IRBadr" w:cs="IRBadr" w:hint="cs"/>
          <w:sz w:val="34"/>
          <w:rtl/>
        </w:rPr>
        <w:t>آقای عطارمنش بیان کرده که گروهی از علمای عامه با تمسک به این روایت بیان کرده‌اند که طلاق و نکاح و یمین اکراهی باطل است. اشکال سخن ایشان آن است که گروهی که نام برده، مخالف جمهور عامه هستند. جمهور عامه فتوایشان بر خلاف است. آن گروهی که تمسک کرده‌اند نیز دلیل بر آن نیست که تمسکشان به درستی بوده است.</w:t>
      </w:r>
      <w:r w:rsidR="00E6727E">
        <w:rPr>
          <w:rFonts w:ascii="IRBadr" w:hAnsi="IRBadr" w:cs="IRBadr" w:hint="cs"/>
          <w:sz w:val="34"/>
          <w:rtl/>
        </w:rPr>
        <w:t xml:space="preserve"> در مصنّف ابن شیبه اقوال عامه در این مساله بیان شده است. در زمان گذشته هنگام بیعت گرفتن از برخی افراد این مطالب بیان می‌شده است. حکومت هنگام بیعت گرفتن از برخی افراد آنها را مکره می‌نموده که قسم بخورند که اگر نقض بیعت کنند، زنانش مطلقه‌ شوند، جمیع املاکش صدقه شوند و تمامی رقیقش آزاد شوند. این قسم به نحو شرط نتیجه بوده است.</w:t>
      </w:r>
      <w:r w:rsidR="006553AC">
        <w:rPr>
          <w:rFonts w:ascii="IRBadr" w:hAnsi="IRBadr" w:cs="IRBadr" w:hint="cs"/>
          <w:sz w:val="34"/>
          <w:rtl/>
        </w:rPr>
        <w:t xml:space="preserve"> نوع فقهای عامه قائلند که این حلف و لو اجباری است نافذ است. مالک قائل بوده که این حلف نافذ نیست. یک واقعه تاریخی در این مساله وجود دارد. </w:t>
      </w:r>
      <w:r w:rsidR="0014065D">
        <w:rPr>
          <w:rFonts w:ascii="IRBadr" w:hAnsi="IRBadr" w:cs="IRBadr" w:hint="cs"/>
          <w:sz w:val="34"/>
          <w:rtl/>
        </w:rPr>
        <w:t>مالک</w:t>
      </w:r>
      <w:r w:rsidR="006553AC">
        <w:rPr>
          <w:rFonts w:ascii="IRBadr" w:hAnsi="IRBadr" w:cs="IRBadr" w:hint="cs"/>
          <w:sz w:val="34"/>
          <w:rtl/>
        </w:rPr>
        <w:t xml:space="preserve"> در مورد داستان محمد بن عبدالله نفس زکیه</w:t>
      </w:r>
      <w:r w:rsidR="0014065D">
        <w:rPr>
          <w:rFonts w:ascii="IRBadr" w:hAnsi="IRBadr" w:cs="IRBadr" w:hint="cs"/>
          <w:sz w:val="34"/>
          <w:rtl/>
        </w:rPr>
        <w:t xml:space="preserve"> قائل بوده بیعتی که حاکم مدینه </w:t>
      </w:r>
      <w:r w:rsidR="006553AC">
        <w:rPr>
          <w:rFonts w:ascii="IRBadr" w:hAnsi="IRBadr" w:cs="IRBadr" w:hint="cs"/>
          <w:sz w:val="34"/>
          <w:rtl/>
        </w:rPr>
        <w:t xml:space="preserve">از مردم مدینه برای منصور دوانیقی </w:t>
      </w:r>
      <w:r w:rsidR="0014065D">
        <w:rPr>
          <w:rFonts w:ascii="IRBadr" w:hAnsi="IRBadr" w:cs="IRBadr" w:hint="cs"/>
          <w:sz w:val="34"/>
          <w:rtl/>
        </w:rPr>
        <w:t>گرفته نافذ نیست؛ چرا که اکراهی بوده و از این رو پیوستن به نفس زکیه مانعی نیست.</w:t>
      </w:r>
      <w:r w:rsidR="006553AC">
        <w:rPr>
          <w:rFonts w:ascii="IRBadr" w:hAnsi="IRBadr" w:cs="IRBadr" w:hint="cs"/>
          <w:sz w:val="34"/>
          <w:rtl/>
        </w:rPr>
        <w:t xml:space="preserve"> مردم مدینه به جهت بیعتی که داشتند از پیوستن به نفس زکیه می‌ترسیدند. مالک با این فتوا</w:t>
      </w:r>
      <w:r w:rsidR="000D2750">
        <w:rPr>
          <w:rFonts w:ascii="IRBadr" w:hAnsi="IRBadr" w:cs="IRBadr" w:hint="cs"/>
          <w:sz w:val="34"/>
          <w:rtl/>
        </w:rPr>
        <w:t>،</w:t>
      </w:r>
      <w:r w:rsidR="006553AC">
        <w:rPr>
          <w:rFonts w:ascii="IRBadr" w:hAnsi="IRBadr" w:cs="IRBadr" w:hint="cs"/>
          <w:sz w:val="34"/>
          <w:rtl/>
        </w:rPr>
        <w:t xml:space="preserve"> مانع را از راه ایشان برداشت.</w:t>
      </w:r>
      <w:r w:rsidR="0014065D">
        <w:rPr>
          <w:rFonts w:ascii="IRBadr" w:hAnsi="IRBadr" w:cs="IRBadr" w:hint="cs"/>
          <w:sz w:val="34"/>
          <w:rtl/>
        </w:rPr>
        <w:t xml:space="preserve"> از این رو </w:t>
      </w:r>
      <w:r w:rsidR="000D2750">
        <w:rPr>
          <w:rFonts w:ascii="IRBadr" w:hAnsi="IRBadr" w:cs="IRBadr" w:hint="cs"/>
          <w:sz w:val="34"/>
          <w:rtl/>
        </w:rPr>
        <w:t xml:space="preserve">امیر مدینه </w:t>
      </w:r>
      <w:r w:rsidR="0014065D">
        <w:rPr>
          <w:rFonts w:ascii="IRBadr" w:hAnsi="IRBadr" w:cs="IRBadr" w:hint="cs"/>
          <w:sz w:val="34"/>
          <w:rtl/>
        </w:rPr>
        <w:t xml:space="preserve">مالک را شلاق می‌زند. </w:t>
      </w:r>
      <w:r w:rsidR="000D2750">
        <w:rPr>
          <w:rFonts w:ascii="IRBadr" w:hAnsi="IRBadr" w:cs="IRBadr" w:hint="cs"/>
          <w:sz w:val="34"/>
          <w:rtl/>
        </w:rPr>
        <w:t xml:space="preserve">این یک واقعه تاریخی است که به ذکر تفصیلی آن نمی‌پردازیم. حاصل آنکه مشهور عامه بیعت‌های مزبور را نافذ می‌شمردند. </w:t>
      </w:r>
      <w:r w:rsidR="0014065D">
        <w:rPr>
          <w:rFonts w:ascii="IRBadr" w:hAnsi="IRBadr" w:cs="IRBadr" w:hint="cs"/>
          <w:sz w:val="34"/>
          <w:rtl/>
        </w:rPr>
        <w:t xml:space="preserve">برخی </w:t>
      </w:r>
      <w:r w:rsidR="000D2750">
        <w:rPr>
          <w:rFonts w:ascii="IRBadr" w:hAnsi="IRBadr" w:cs="IRBadr" w:hint="cs"/>
          <w:sz w:val="34"/>
          <w:rtl/>
        </w:rPr>
        <w:t xml:space="preserve">دیگر </w:t>
      </w:r>
      <w:r w:rsidR="0014065D">
        <w:rPr>
          <w:rFonts w:ascii="IRBadr" w:hAnsi="IRBadr" w:cs="IRBadr" w:hint="cs"/>
          <w:sz w:val="34"/>
          <w:rtl/>
        </w:rPr>
        <w:t xml:space="preserve">بین اکراه سلطان و </w:t>
      </w:r>
      <w:r w:rsidR="000D2750">
        <w:rPr>
          <w:rFonts w:ascii="IRBadr" w:hAnsi="IRBadr" w:cs="IRBadr" w:hint="cs"/>
          <w:sz w:val="34"/>
          <w:rtl/>
        </w:rPr>
        <w:t xml:space="preserve">اکراه </w:t>
      </w:r>
      <w:r w:rsidR="0014065D">
        <w:rPr>
          <w:rFonts w:ascii="IRBadr" w:hAnsi="IRBadr" w:cs="IRBadr" w:hint="cs"/>
          <w:sz w:val="34"/>
          <w:rtl/>
        </w:rPr>
        <w:t xml:space="preserve">لص قائل به تفصیل شده‌، و بیان کرده‌اند که اکراه سلطان نافذ است ولی اکراه لص نافذ نیست. در تعلیل آن بیان شده: «لأنّ اللصّ یَقتُل». </w:t>
      </w:r>
    </w:p>
    <w:p w14:paraId="6769F73E" w14:textId="3F17054C" w:rsidR="00EB5BBB" w:rsidRDefault="00EB5BBB" w:rsidP="000D2750">
      <w:pPr>
        <w:ind w:firstLine="397"/>
        <w:rPr>
          <w:rFonts w:ascii="IRBadr" w:hAnsi="IRBadr" w:cs="IRBadr"/>
          <w:sz w:val="34"/>
          <w:rtl/>
        </w:rPr>
      </w:pPr>
      <w:r>
        <w:rPr>
          <w:rFonts w:ascii="IRBadr" w:hAnsi="IRBadr" w:cs="IRBadr" w:hint="cs"/>
          <w:sz w:val="34"/>
          <w:rtl/>
        </w:rPr>
        <w:t>بر فرض آنکه جمیع علمای عامه هم چنین استنادی داشتند قابل پذیرش نبود؛ چرا که مربوط به دوره‌های متاخر است. نهایت آن است که در زمان مستندین، رفع چنین استعمالی داشته است. قدمایی از عامه هم که به این حدیث استناد کرده‌اند چندان قدیمی نیستند؛ بلکه مربوط به حدود قرن ۵ هستند؛ به‌علاوه که این استناد به نحو عمومی نیست و اکثر عامه آن را نپذیرفته‌اند، و حلف به طلاق و عتاق و صدقه را در صورت اکراه هم نافذ می‌دانند.</w:t>
      </w:r>
    </w:p>
    <w:p w14:paraId="7133174A" w14:textId="42297758" w:rsidR="00EB5BBB" w:rsidRDefault="00EB5BBB" w:rsidP="000D2750">
      <w:pPr>
        <w:ind w:firstLine="397"/>
        <w:rPr>
          <w:rFonts w:ascii="IRBadr" w:hAnsi="IRBadr" w:cs="IRBadr"/>
          <w:sz w:val="34"/>
          <w:rtl/>
        </w:rPr>
      </w:pPr>
      <w:r w:rsidRPr="00EB5BBB">
        <w:rPr>
          <w:rFonts w:ascii="IRBadr" w:hAnsi="IRBadr" w:cs="IRBadr" w:hint="cs"/>
          <w:b/>
          <w:bCs/>
          <w:sz w:val="34"/>
          <w:rtl/>
        </w:rPr>
        <w:t>سوال</w:t>
      </w:r>
      <w:r>
        <w:rPr>
          <w:rFonts w:ascii="IRBadr" w:hAnsi="IRBadr" w:cs="IRBadr" w:hint="cs"/>
          <w:sz w:val="34"/>
          <w:rtl/>
        </w:rPr>
        <w:t xml:space="preserve">: </w:t>
      </w:r>
      <w:r w:rsidR="000C25DB">
        <w:rPr>
          <w:rFonts w:ascii="IRBadr" w:hAnsi="IRBadr" w:cs="IRBadr" w:hint="cs"/>
          <w:sz w:val="34"/>
          <w:rtl/>
        </w:rPr>
        <w:t xml:space="preserve">اگر بگویید </w:t>
      </w:r>
      <w:r>
        <w:rPr>
          <w:rFonts w:ascii="IRBadr" w:hAnsi="IRBadr" w:cs="IRBadr" w:hint="cs"/>
          <w:sz w:val="34"/>
          <w:rtl/>
        </w:rPr>
        <w:t>شاید عدم فتوایشان به این احادیث به جهت ضعف سندی آنها است.</w:t>
      </w:r>
    </w:p>
    <w:p w14:paraId="697E5E4C" w14:textId="4478BC57" w:rsidR="00EB5BBB" w:rsidRDefault="00EB5BBB" w:rsidP="000D2750">
      <w:pPr>
        <w:ind w:firstLine="397"/>
        <w:rPr>
          <w:rFonts w:ascii="IRBadr" w:hAnsi="IRBadr" w:cs="IRBadr"/>
          <w:sz w:val="34"/>
          <w:rtl/>
        </w:rPr>
      </w:pPr>
      <w:r w:rsidRPr="00EB5BBB">
        <w:rPr>
          <w:rFonts w:ascii="IRBadr" w:hAnsi="IRBadr" w:cs="IRBadr" w:hint="cs"/>
          <w:b/>
          <w:bCs/>
          <w:sz w:val="34"/>
          <w:rtl/>
        </w:rPr>
        <w:t>پاسخ</w:t>
      </w:r>
      <w:r>
        <w:rPr>
          <w:rFonts w:ascii="IRBadr" w:hAnsi="IRBadr" w:cs="IRBadr" w:hint="cs"/>
          <w:sz w:val="34"/>
          <w:rtl/>
        </w:rPr>
        <w:t xml:space="preserve">: </w:t>
      </w:r>
      <w:r w:rsidR="000C25DB">
        <w:rPr>
          <w:rFonts w:ascii="IRBadr" w:hAnsi="IRBadr" w:cs="IRBadr" w:hint="cs"/>
          <w:sz w:val="34"/>
          <w:rtl/>
        </w:rPr>
        <w:t xml:space="preserve">می‌گوییم </w:t>
      </w:r>
      <w:r>
        <w:rPr>
          <w:rFonts w:ascii="IRBadr" w:hAnsi="IRBadr" w:cs="IRBadr" w:hint="cs"/>
          <w:sz w:val="34"/>
          <w:rtl/>
        </w:rPr>
        <w:t xml:space="preserve">بسیار بعید است که </w:t>
      </w:r>
      <w:r w:rsidR="000F6108">
        <w:rPr>
          <w:rFonts w:ascii="IRBadr" w:hAnsi="IRBadr" w:cs="IRBadr" w:hint="cs"/>
          <w:sz w:val="34"/>
          <w:rtl/>
        </w:rPr>
        <w:t xml:space="preserve">عامه </w:t>
      </w:r>
      <w:r>
        <w:rPr>
          <w:rFonts w:ascii="IRBadr" w:hAnsi="IRBadr" w:cs="IRBadr" w:hint="cs"/>
          <w:sz w:val="34"/>
          <w:rtl/>
        </w:rPr>
        <w:t>این روایات را ضعیف بدانند. این روایات بسیار معروف است و به حدّی توسط عامه نقل شده که صدورش از مسلمات است. به‌خصوص فقره خطا و نسیان و اکراه در تمامی نقل‌ها وجود دارد. البته در برخی نقل‌ها تنها یک فقره ذکر شده، ولی در نقل‌هایی که چند فقره وارد شده، خطا و نسیان و اکراه در تمامی آن نقل‌ها وجود دارد</w:t>
      </w:r>
      <w:r w:rsidR="000F6108">
        <w:rPr>
          <w:rFonts w:ascii="IRBadr" w:hAnsi="IRBadr" w:cs="IRBadr" w:hint="cs"/>
          <w:sz w:val="34"/>
          <w:rtl/>
        </w:rPr>
        <w:t>، به نحوی که</w:t>
      </w:r>
      <w:r>
        <w:rPr>
          <w:rFonts w:ascii="IRBadr" w:hAnsi="IRBadr" w:cs="IRBadr" w:hint="cs"/>
          <w:sz w:val="34"/>
          <w:rtl/>
        </w:rPr>
        <w:t xml:space="preserve"> شاید نقل آن به حد تواتر برسد. علت آنکه </w:t>
      </w:r>
      <w:r w:rsidR="000F6108">
        <w:rPr>
          <w:rFonts w:ascii="IRBadr" w:hAnsi="IRBadr" w:cs="IRBadr" w:hint="cs"/>
          <w:sz w:val="34"/>
          <w:rtl/>
        </w:rPr>
        <w:t xml:space="preserve">عامه </w:t>
      </w:r>
      <w:r>
        <w:rPr>
          <w:rFonts w:ascii="IRBadr" w:hAnsi="IRBadr" w:cs="IRBadr" w:hint="cs"/>
          <w:sz w:val="34"/>
          <w:rtl/>
        </w:rPr>
        <w:t>به مضمون این روایت فتوا نداده‌اند آن است که مفاد آن را به مطلق احکام وضعیه مترتّب بر عمل، تعمیم نداده‌اند</w:t>
      </w:r>
      <w:r w:rsidR="000F6108">
        <w:rPr>
          <w:rFonts w:ascii="IRBadr" w:hAnsi="IRBadr" w:cs="IRBadr" w:hint="cs"/>
          <w:sz w:val="34"/>
          <w:rtl/>
        </w:rPr>
        <w:t>.</w:t>
      </w:r>
    </w:p>
    <w:p w14:paraId="69862C4B" w14:textId="00351B85" w:rsidR="0099082F" w:rsidRDefault="0099082F" w:rsidP="0099082F">
      <w:pPr>
        <w:pStyle w:val="Heading2"/>
        <w:rPr>
          <w:rtl/>
        </w:rPr>
      </w:pPr>
      <w:bookmarkStart w:id="15" w:name="_Toc218431516"/>
      <w:bookmarkStart w:id="16" w:name="_Toc218544863"/>
      <w:bookmarkStart w:id="17" w:name="_Toc218545411"/>
      <w:bookmarkStart w:id="18" w:name="_Toc218545421"/>
      <w:r>
        <w:rPr>
          <w:rFonts w:hint="cs"/>
          <w:rtl/>
        </w:rPr>
        <w:lastRenderedPageBreak/>
        <w:t>نتیجه‌گیری مقاله</w:t>
      </w:r>
      <w:bookmarkEnd w:id="15"/>
      <w:bookmarkEnd w:id="16"/>
      <w:bookmarkEnd w:id="17"/>
      <w:bookmarkEnd w:id="18"/>
    </w:p>
    <w:p w14:paraId="41E05D3E" w14:textId="14C7554B" w:rsidR="0014065D" w:rsidRDefault="008F6798" w:rsidP="004D4A3E">
      <w:pPr>
        <w:ind w:firstLine="397"/>
        <w:rPr>
          <w:rFonts w:ascii="IRBadr" w:hAnsi="IRBadr" w:cs="IRBadr"/>
          <w:sz w:val="34"/>
          <w:rtl/>
        </w:rPr>
      </w:pPr>
      <w:r>
        <w:rPr>
          <w:rFonts w:ascii="IRBadr" w:hAnsi="IRBadr" w:cs="IRBadr" w:hint="cs"/>
          <w:sz w:val="34"/>
          <w:rtl/>
        </w:rPr>
        <w:t xml:space="preserve">آقای عطارمنش هفت گونه برای متعلق رفع بیان کرده و چند مورد آن را از محل بحث خارج دانسته است. ایشان در مقام نتیجه‌گیری </w:t>
      </w:r>
      <w:r w:rsidR="00F10448">
        <w:rPr>
          <w:rFonts w:ascii="IRBadr" w:hAnsi="IRBadr" w:cs="IRBadr" w:hint="cs"/>
          <w:sz w:val="34"/>
          <w:rtl/>
        </w:rPr>
        <w:t xml:space="preserve">اطلاق‌گیری کرده‌اند بدین نحو که بیان کرده‌اند دو گونه استعمال با هم اراده شده، و گویا جامع بین آن دو مد نظر بوده است. سخن ایشان صحیح نیست. وقتی رفع در چند مصداق به کار می‌رود بدین معنی نیست که در جامع بین آنها هم به کار رود. یک نکته که در این مقاله مورد توجه قرار نگرفته توجه به این سوال است که </w:t>
      </w:r>
      <w:r w:rsidR="0014065D">
        <w:rPr>
          <w:rFonts w:ascii="IRBadr" w:hAnsi="IRBadr" w:cs="IRBadr" w:hint="cs"/>
          <w:sz w:val="34"/>
          <w:rtl/>
        </w:rPr>
        <w:t>آیا مرفوع، عمل انجام شده است یا عمل انجام نشده</w:t>
      </w:r>
      <w:r w:rsidR="00F10448">
        <w:rPr>
          <w:rFonts w:ascii="IRBadr" w:hAnsi="IRBadr" w:cs="IRBadr" w:hint="cs"/>
          <w:sz w:val="34"/>
          <w:rtl/>
        </w:rPr>
        <w:t>؟</w:t>
      </w:r>
      <w:r w:rsidR="0014065D">
        <w:rPr>
          <w:rFonts w:ascii="IRBadr" w:hAnsi="IRBadr" w:cs="IRBadr" w:hint="cs"/>
          <w:sz w:val="34"/>
          <w:rtl/>
        </w:rPr>
        <w:t xml:space="preserve"> بین آن دو</w:t>
      </w:r>
      <w:r w:rsidR="00F10448">
        <w:rPr>
          <w:rFonts w:ascii="IRBadr" w:hAnsi="IRBadr" w:cs="IRBadr" w:hint="cs"/>
          <w:sz w:val="34"/>
          <w:rtl/>
        </w:rPr>
        <w:t>،</w:t>
      </w:r>
      <w:r w:rsidR="0014065D">
        <w:rPr>
          <w:rFonts w:ascii="IRBadr" w:hAnsi="IRBadr" w:cs="IRBadr" w:hint="cs"/>
          <w:sz w:val="34"/>
          <w:rtl/>
        </w:rPr>
        <w:t xml:space="preserve"> تفاوت‌های جدی وجود دارد که باعث می‌شود جامع‌گرفتن بین آنها عرفی نباشد. وقتی نسبت به عمل انجام شده بیان می‌شود که خداوند آن را برداشته، به معنای برداشتن عواقب آن است. چنین تعبیری در مورد عمل </w:t>
      </w:r>
      <w:r w:rsidR="004D4A3E">
        <w:rPr>
          <w:rFonts w:ascii="IRBadr" w:hAnsi="IRBadr" w:cs="IRBadr" w:hint="cs"/>
          <w:sz w:val="34"/>
          <w:rtl/>
        </w:rPr>
        <w:t>نا</w:t>
      </w:r>
      <w:r w:rsidR="0014065D">
        <w:rPr>
          <w:rFonts w:ascii="IRBadr" w:hAnsi="IRBadr" w:cs="IRBadr" w:hint="cs"/>
          <w:sz w:val="34"/>
          <w:rtl/>
        </w:rPr>
        <w:t xml:space="preserve">مطلوب </w:t>
      </w:r>
      <w:r w:rsidR="004D4A3E">
        <w:rPr>
          <w:rFonts w:ascii="IRBadr" w:hAnsi="IRBadr" w:cs="IRBadr" w:hint="cs"/>
          <w:sz w:val="34"/>
          <w:rtl/>
        </w:rPr>
        <w:t xml:space="preserve">و زشت (حرام) </w:t>
      </w:r>
      <w:r w:rsidR="0014065D">
        <w:rPr>
          <w:rFonts w:ascii="IRBadr" w:hAnsi="IRBadr" w:cs="IRBadr" w:hint="cs"/>
          <w:sz w:val="34"/>
          <w:rtl/>
        </w:rPr>
        <w:t xml:space="preserve">به کار می‌رود، ولی رفع نسبت به عمل انجام نشده، عمل مطلوب </w:t>
      </w:r>
      <w:r w:rsidR="004D4A3E">
        <w:rPr>
          <w:rFonts w:ascii="IRBadr" w:hAnsi="IRBadr" w:cs="IRBadr" w:hint="cs"/>
          <w:sz w:val="34"/>
          <w:rtl/>
        </w:rPr>
        <w:t xml:space="preserve">(واجب) </w:t>
      </w:r>
      <w:r w:rsidR="0014065D">
        <w:rPr>
          <w:rFonts w:ascii="IRBadr" w:hAnsi="IRBadr" w:cs="IRBadr" w:hint="cs"/>
          <w:sz w:val="34"/>
          <w:rtl/>
        </w:rPr>
        <w:t>است.</w:t>
      </w:r>
      <w:r w:rsidR="004D4A3E">
        <w:rPr>
          <w:rFonts w:ascii="IRBadr" w:hAnsi="IRBadr" w:cs="IRBadr" w:hint="cs"/>
          <w:sz w:val="34"/>
          <w:rtl/>
        </w:rPr>
        <w:t xml:space="preserve"> اینکه بیان شود فقره «ما لا یعلمون» نسبت به هر دو اطلاق دارد و جامع بین آن دو اراده شده سخن صحیحی نیست. این مساله از نکات اصلی بحث است که در تحلیل ایشان نادیده گرفته شده است.</w:t>
      </w:r>
    </w:p>
    <w:p w14:paraId="001984CA" w14:textId="5D80A5AD" w:rsidR="00BC5B22" w:rsidRDefault="00BC5B22" w:rsidP="004D4A3E">
      <w:pPr>
        <w:ind w:firstLine="397"/>
        <w:rPr>
          <w:rFonts w:ascii="IRBadr" w:hAnsi="IRBadr" w:cs="IRBadr"/>
          <w:sz w:val="34"/>
          <w:rtl/>
        </w:rPr>
      </w:pPr>
      <w:r>
        <w:rPr>
          <w:rFonts w:ascii="IRBadr" w:hAnsi="IRBadr" w:cs="IRBadr" w:hint="cs"/>
          <w:sz w:val="34"/>
          <w:rtl/>
        </w:rPr>
        <w:t>آنچه بیان شد با مساله سیاق تفاوت دارد. مساله سیاق ناظر به چند فقره است ولی این نکته که ذکر شد مربوط به یک  فقره خاص است. قبلا بیان شد که یکی از مشکلات این مقاله آن است که به مساله سیاق اصلا توجه نشده است. سیاق اگر بخواهد انکار شود باید صغرای آن مورد مناقشه قرار گیرد. به نظر ما از آنجا که فقرات با هم تفاوت دارند و برخی مربوط به عمل واقع شده و برخی دیگر مربوط به عمل واقع نشده هستند، از این جهت سیاق واحد ندارند. ولی در مورد یک فقره خاص آیا می‌توان نسبت به امور مختلف اطلاق‌گیری نمود؟ مثل اطلاق حدیث نسبت به دو گونه مختلف. طبق سخن صاحب مقاله، اطلاق روایت هم نسبت به احکام و هم نسبت به عمل مطلوب و هم عمل نامطلوب ثابت است، و مراد از رفع در هر مصداقی همان مورد مناسب است. آیا شاهدی بر چنین معنای جامعی وجود دارد؟</w:t>
      </w:r>
      <w:r w:rsidR="0088269A">
        <w:rPr>
          <w:rFonts w:ascii="IRBadr" w:hAnsi="IRBadr" w:cs="IRBadr" w:hint="cs"/>
          <w:sz w:val="34"/>
          <w:rtl/>
        </w:rPr>
        <w:t xml:space="preserve"> بر فرض آنکه تمامی هفت‌گونه‌ای که ایشان ذکر نمود صحیح باشد، صحّت استعمال رفع در چند مورد شاهد بر صحت استعمال در جامع بین آن موارد نیست. برای اثبات این مدّعی باید شاهد بر استعمال رفع در جامع ذکر شود، در حالی که چنین شاهدی در مقاله بیان نشده است.</w:t>
      </w:r>
    </w:p>
    <w:p w14:paraId="2B60B97D" w14:textId="2A838837" w:rsidR="0088269A" w:rsidRDefault="0088269A" w:rsidP="004D4A3E">
      <w:pPr>
        <w:ind w:firstLine="397"/>
        <w:rPr>
          <w:rFonts w:ascii="IRBadr" w:hAnsi="IRBadr" w:cs="IRBadr"/>
          <w:sz w:val="34"/>
        </w:rPr>
      </w:pPr>
      <w:r>
        <w:rPr>
          <w:rFonts w:ascii="IRBadr" w:hAnsi="IRBadr" w:cs="IRBadr" w:hint="cs"/>
          <w:sz w:val="34"/>
          <w:rtl/>
        </w:rPr>
        <w:t xml:space="preserve">حاصل آنکه </w:t>
      </w:r>
      <w:r w:rsidR="00031769">
        <w:rPr>
          <w:rFonts w:ascii="IRBadr" w:hAnsi="IRBadr" w:cs="IRBadr" w:hint="cs"/>
          <w:sz w:val="34"/>
          <w:rtl/>
        </w:rPr>
        <w:t xml:space="preserve">در این مقاله اولا </w:t>
      </w:r>
      <w:r>
        <w:rPr>
          <w:rFonts w:ascii="IRBadr" w:hAnsi="IRBadr" w:cs="IRBadr" w:hint="cs"/>
          <w:sz w:val="34"/>
          <w:rtl/>
        </w:rPr>
        <w:t xml:space="preserve">در نحوه جمع‌آوری اطلاعات و </w:t>
      </w:r>
      <w:r w:rsidR="00031769">
        <w:rPr>
          <w:rFonts w:ascii="IRBadr" w:hAnsi="IRBadr" w:cs="IRBadr" w:hint="cs"/>
          <w:sz w:val="34"/>
          <w:rtl/>
        </w:rPr>
        <w:t xml:space="preserve">ثانیا </w:t>
      </w:r>
      <w:r>
        <w:rPr>
          <w:rFonts w:ascii="IRBadr" w:hAnsi="IRBadr" w:cs="IRBadr" w:hint="cs"/>
          <w:sz w:val="34"/>
          <w:rtl/>
        </w:rPr>
        <w:t xml:space="preserve">در مورد نحوه دسته‌بندی اطلاعات و </w:t>
      </w:r>
      <w:r w:rsidR="00031769">
        <w:rPr>
          <w:rFonts w:ascii="IRBadr" w:hAnsi="IRBadr" w:cs="IRBadr" w:hint="cs"/>
          <w:sz w:val="34"/>
          <w:rtl/>
        </w:rPr>
        <w:t xml:space="preserve">ثالثا </w:t>
      </w:r>
      <w:r>
        <w:rPr>
          <w:rFonts w:ascii="IRBadr" w:hAnsi="IRBadr" w:cs="IRBadr" w:hint="cs"/>
          <w:sz w:val="34"/>
          <w:rtl/>
        </w:rPr>
        <w:t xml:space="preserve">در </w:t>
      </w:r>
      <w:r w:rsidR="00031769">
        <w:rPr>
          <w:rFonts w:ascii="IRBadr" w:hAnsi="IRBadr" w:cs="IRBadr" w:hint="cs"/>
          <w:sz w:val="34"/>
          <w:rtl/>
        </w:rPr>
        <w:t xml:space="preserve">رابطه با </w:t>
      </w:r>
      <w:r>
        <w:rPr>
          <w:rFonts w:ascii="IRBadr" w:hAnsi="IRBadr" w:cs="IRBadr" w:hint="cs"/>
          <w:sz w:val="34"/>
          <w:rtl/>
        </w:rPr>
        <w:t xml:space="preserve">فهم موردی اطلاعات و </w:t>
      </w:r>
      <w:r w:rsidR="00031769">
        <w:rPr>
          <w:rFonts w:ascii="IRBadr" w:hAnsi="IRBadr" w:cs="IRBadr" w:hint="cs"/>
          <w:sz w:val="34"/>
          <w:rtl/>
        </w:rPr>
        <w:t>رابعا در مورد استنتاج از اطلاعات و استعمالات باید تجدید نظر شود.</w:t>
      </w:r>
    </w:p>
    <w:p w14:paraId="130D618D" w14:textId="3FF8D918" w:rsidR="00067AFE" w:rsidRDefault="00067AFE" w:rsidP="004D4A3E">
      <w:pPr>
        <w:ind w:firstLine="397"/>
        <w:rPr>
          <w:rFonts w:ascii="IRBadr" w:hAnsi="IRBadr" w:cs="IRBadr"/>
          <w:sz w:val="34"/>
          <w:rtl/>
        </w:rPr>
      </w:pPr>
      <w:r>
        <w:rPr>
          <w:rFonts w:ascii="IRBadr" w:hAnsi="IRBadr" w:cs="IRBadr" w:hint="cs"/>
          <w:sz w:val="34"/>
          <w:rtl/>
        </w:rPr>
        <w:t xml:space="preserve">آنچه بیان شد مربوط به مقاله آقای عطارمنش بود. در ادامه نکات دیگری در رابطه با حدیث رفع بیان می‌شود. </w:t>
      </w:r>
    </w:p>
    <w:p w14:paraId="1F83516A" w14:textId="30DEDFF8" w:rsidR="00E53EE6" w:rsidRDefault="00E53EE6" w:rsidP="00AB02C5">
      <w:pPr>
        <w:pStyle w:val="Heading1"/>
        <w:rPr>
          <w:rtl/>
        </w:rPr>
      </w:pPr>
      <w:bookmarkStart w:id="19" w:name="_Toc218431518"/>
      <w:bookmarkStart w:id="20" w:name="_Toc218544864"/>
      <w:bookmarkStart w:id="21" w:name="_Toc218545412"/>
      <w:bookmarkStart w:id="22" w:name="_Toc218545422"/>
      <w:r>
        <w:rPr>
          <w:rFonts w:hint="cs"/>
          <w:rtl/>
        </w:rPr>
        <w:t>توجه به معنای واژه «خصال»</w:t>
      </w:r>
      <w:bookmarkEnd w:id="19"/>
      <w:bookmarkEnd w:id="20"/>
      <w:r>
        <w:rPr>
          <w:rFonts w:hint="cs"/>
          <w:rtl/>
        </w:rPr>
        <w:t xml:space="preserve"> </w:t>
      </w:r>
      <w:r w:rsidR="00AB02C5">
        <w:rPr>
          <w:rFonts w:hint="cs"/>
          <w:rtl/>
        </w:rPr>
        <w:t>در حدیث رفع</w:t>
      </w:r>
      <w:bookmarkEnd w:id="21"/>
      <w:bookmarkEnd w:id="22"/>
    </w:p>
    <w:p w14:paraId="41C12D1A" w14:textId="42165267" w:rsidR="001C5D15" w:rsidRDefault="00067AFE" w:rsidP="00E53EE6">
      <w:pPr>
        <w:ind w:firstLine="397"/>
        <w:rPr>
          <w:rFonts w:ascii="IRBadr" w:hAnsi="IRBadr" w:cs="IRBadr"/>
          <w:sz w:val="34"/>
          <w:rtl/>
        </w:rPr>
      </w:pPr>
      <w:r>
        <w:rPr>
          <w:rFonts w:ascii="IRBadr" w:hAnsi="IRBadr" w:cs="IRBadr" w:hint="cs"/>
          <w:sz w:val="34"/>
          <w:rtl/>
        </w:rPr>
        <w:t xml:space="preserve">یک نکته در حدیث رفع وجود دارد که در کلمات قوم مورد دقت قرار نگرفته است. </w:t>
      </w:r>
      <w:r w:rsidR="004A29FB">
        <w:rPr>
          <w:rFonts w:ascii="IRBadr" w:hAnsi="IRBadr" w:cs="IRBadr" w:hint="cs"/>
          <w:sz w:val="34"/>
          <w:rtl/>
        </w:rPr>
        <w:t xml:space="preserve">در برخی </w:t>
      </w:r>
      <w:r>
        <w:rPr>
          <w:rFonts w:ascii="IRBadr" w:hAnsi="IRBadr" w:cs="IRBadr" w:hint="cs"/>
          <w:sz w:val="34"/>
          <w:rtl/>
        </w:rPr>
        <w:t xml:space="preserve">از </w:t>
      </w:r>
      <w:r w:rsidR="004A29FB">
        <w:rPr>
          <w:rFonts w:ascii="IRBadr" w:hAnsi="IRBadr" w:cs="IRBadr" w:hint="cs"/>
          <w:sz w:val="34"/>
          <w:rtl/>
        </w:rPr>
        <w:t>نقل‌ها</w:t>
      </w:r>
      <w:r>
        <w:rPr>
          <w:rFonts w:ascii="IRBadr" w:hAnsi="IRBadr" w:cs="IRBadr" w:hint="cs"/>
          <w:sz w:val="34"/>
          <w:rtl/>
        </w:rPr>
        <w:t>ی این روایت</w:t>
      </w:r>
      <w:r w:rsidR="004A29FB">
        <w:rPr>
          <w:rFonts w:ascii="IRBadr" w:hAnsi="IRBadr" w:cs="IRBadr" w:hint="cs"/>
          <w:sz w:val="34"/>
          <w:rtl/>
        </w:rPr>
        <w:t xml:space="preserve"> واژه خصال به کار رفته است: </w:t>
      </w:r>
      <w:r w:rsidR="00E53EE6" w:rsidRPr="00E53EE6">
        <w:rPr>
          <w:rFonts w:ascii="IRBadr" w:hAnsi="IRBadr" w:cs="IRBadr" w:hint="cs"/>
          <w:color w:val="008000"/>
          <w:sz w:val="34"/>
          <w:rtl/>
        </w:rPr>
        <w:t>«</w:t>
      </w:r>
      <w:r w:rsidR="00E53EE6" w:rsidRPr="00E53EE6">
        <w:rPr>
          <w:rFonts w:ascii="IRBadr" w:hAnsi="IRBadr" w:cs="IRBadr"/>
          <w:color w:val="008000"/>
          <w:sz w:val="34"/>
          <w:rtl/>
        </w:rPr>
        <w:t>قَالَ رَسُولُ اللَّهِ ص وُضِعَ عَنْ أُمَّتِي تِسْعُ خِصَالٍ</w:t>
      </w:r>
      <w:r w:rsidR="00E53EE6" w:rsidRPr="00E53EE6">
        <w:rPr>
          <w:rFonts w:ascii="IRBadr" w:hAnsi="IRBadr" w:cs="IRBadr" w:hint="cs"/>
          <w:color w:val="008000"/>
          <w:sz w:val="34"/>
          <w:rtl/>
        </w:rPr>
        <w:t>»</w:t>
      </w:r>
      <w:r w:rsidR="00E53EE6">
        <w:rPr>
          <w:rStyle w:val="FootnoteReference"/>
          <w:rFonts w:ascii="IRBadr" w:hAnsi="IRBadr" w:cs="IRBadr"/>
          <w:color w:val="008000"/>
          <w:sz w:val="34"/>
          <w:rtl/>
        </w:rPr>
        <w:footnoteReference w:id="11"/>
      </w:r>
      <w:r w:rsidR="00E53EE6">
        <w:rPr>
          <w:rFonts w:ascii="IRBadr" w:hAnsi="IRBadr" w:cs="IRBadr" w:hint="cs"/>
          <w:sz w:val="34"/>
          <w:rtl/>
        </w:rPr>
        <w:t xml:space="preserve"> و </w:t>
      </w:r>
      <w:r w:rsidR="00E53EE6" w:rsidRPr="00E53EE6">
        <w:rPr>
          <w:rFonts w:ascii="IRBadr" w:hAnsi="IRBadr" w:cs="IRBadr" w:hint="cs"/>
          <w:color w:val="008000"/>
          <w:sz w:val="34"/>
          <w:rtl/>
        </w:rPr>
        <w:t>«</w:t>
      </w:r>
      <w:r w:rsidR="00E53EE6" w:rsidRPr="00E53EE6">
        <w:rPr>
          <w:rFonts w:ascii="IRBadr" w:hAnsi="IRBadr" w:cs="IRBadr"/>
          <w:color w:val="008000"/>
          <w:sz w:val="34"/>
          <w:rtl/>
        </w:rPr>
        <w:t>رُفِعَ عَنْ أُمَّتِي أَرْبَع‏</w:t>
      </w:r>
      <w:r w:rsidR="00E53EE6" w:rsidRPr="00E53EE6">
        <w:rPr>
          <w:rFonts w:ascii="IRBadr" w:hAnsi="IRBadr" w:cs="IRBadr"/>
          <w:color w:val="008000"/>
          <w:sz w:val="34"/>
        </w:rPr>
        <w:t xml:space="preserve"> </w:t>
      </w:r>
      <w:r w:rsidR="00E53EE6" w:rsidRPr="00E53EE6">
        <w:rPr>
          <w:rFonts w:ascii="IRBadr" w:hAnsi="IRBadr" w:cs="IRBadr"/>
          <w:color w:val="008000"/>
          <w:sz w:val="34"/>
          <w:rtl/>
        </w:rPr>
        <w:t>خِصَالٍ</w:t>
      </w:r>
      <w:r w:rsidR="00E53EE6" w:rsidRPr="00E53EE6">
        <w:rPr>
          <w:rFonts w:ascii="IRBadr" w:hAnsi="IRBadr" w:cs="IRBadr" w:hint="cs"/>
          <w:color w:val="008000"/>
          <w:sz w:val="34"/>
          <w:rtl/>
        </w:rPr>
        <w:t>»</w:t>
      </w:r>
      <w:r w:rsidR="00E53EE6">
        <w:rPr>
          <w:rStyle w:val="FootnoteReference"/>
          <w:rFonts w:ascii="IRBadr" w:hAnsi="IRBadr" w:cs="IRBadr"/>
          <w:color w:val="008000"/>
          <w:sz w:val="34"/>
          <w:rtl/>
        </w:rPr>
        <w:footnoteReference w:id="12"/>
      </w:r>
      <w:r w:rsidR="00E53EE6">
        <w:rPr>
          <w:rFonts w:ascii="IRBadr" w:hAnsi="IRBadr" w:cs="IRBadr" w:hint="cs"/>
          <w:sz w:val="34"/>
          <w:rtl/>
        </w:rPr>
        <w:t xml:space="preserve">. </w:t>
      </w:r>
      <w:r w:rsidR="004A29FB">
        <w:rPr>
          <w:rFonts w:ascii="IRBadr" w:hAnsi="IRBadr" w:cs="IRBadr" w:hint="cs"/>
          <w:sz w:val="34"/>
          <w:rtl/>
        </w:rPr>
        <w:t>به احتمال زیاد در باقی نقل‌ها که</w:t>
      </w:r>
      <w:r>
        <w:rPr>
          <w:rFonts w:ascii="IRBadr" w:hAnsi="IRBadr" w:cs="IRBadr" w:hint="cs"/>
          <w:sz w:val="34"/>
          <w:rtl/>
        </w:rPr>
        <w:t xml:space="preserve"> تنها</w:t>
      </w:r>
      <w:r w:rsidR="004A29FB">
        <w:rPr>
          <w:rFonts w:ascii="IRBadr" w:hAnsi="IRBadr" w:cs="IRBadr" w:hint="cs"/>
          <w:sz w:val="34"/>
          <w:rtl/>
        </w:rPr>
        <w:t xml:space="preserve"> عدد </w:t>
      </w:r>
      <w:r>
        <w:rPr>
          <w:rFonts w:ascii="IRBadr" w:hAnsi="IRBadr" w:cs="IRBadr" w:hint="cs"/>
          <w:sz w:val="34"/>
          <w:rtl/>
        </w:rPr>
        <w:t xml:space="preserve">بدون ذکر معدود </w:t>
      </w:r>
      <w:r w:rsidR="004A29FB">
        <w:rPr>
          <w:rFonts w:ascii="IRBadr" w:hAnsi="IRBadr" w:cs="IRBadr" w:hint="cs"/>
          <w:sz w:val="34"/>
          <w:rtl/>
        </w:rPr>
        <w:t xml:space="preserve">در آنها وارد شده نیز واژه خصال </w:t>
      </w:r>
      <w:r w:rsidR="00E53EE6">
        <w:rPr>
          <w:rFonts w:ascii="IRBadr" w:hAnsi="IRBadr" w:cs="IRBadr" w:hint="cs"/>
          <w:sz w:val="34"/>
          <w:rtl/>
        </w:rPr>
        <w:t>مورد نظر بوده است</w:t>
      </w:r>
      <w:r w:rsidR="004A29FB">
        <w:rPr>
          <w:rFonts w:ascii="IRBadr" w:hAnsi="IRBadr" w:cs="IRBadr" w:hint="cs"/>
          <w:sz w:val="34"/>
          <w:rtl/>
        </w:rPr>
        <w:t>.</w:t>
      </w:r>
      <w:r w:rsidR="00E53EE6">
        <w:rPr>
          <w:rFonts w:ascii="IRBadr" w:hAnsi="IRBadr" w:cs="IRBadr" w:hint="cs"/>
          <w:sz w:val="34"/>
          <w:rtl/>
        </w:rPr>
        <w:t xml:space="preserve"> از این رو است که عدد به صورت مذکر آمده است؛ چون واژه «خصلة» مونّث است و از عدد ۳ تا عدد ۱۰، عدد و معدود در تانیث و تذکیر مخالفت دارند</w:t>
      </w:r>
      <w:r w:rsidR="001C5D15">
        <w:rPr>
          <w:rFonts w:ascii="IRBadr" w:hAnsi="IRBadr" w:cs="IRBadr" w:hint="cs"/>
          <w:sz w:val="34"/>
          <w:rtl/>
        </w:rPr>
        <w:t>. به این نقل توجه کنید:</w:t>
      </w:r>
    </w:p>
    <w:p w14:paraId="4789E8CD" w14:textId="09352202" w:rsidR="001C5D15" w:rsidRDefault="001C5D15" w:rsidP="00E53EE6">
      <w:pPr>
        <w:ind w:firstLine="397"/>
        <w:rPr>
          <w:rFonts w:ascii="IRBadr" w:hAnsi="IRBadr" w:cs="IRBadr"/>
          <w:sz w:val="34"/>
          <w:rtl/>
        </w:rPr>
      </w:pPr>
      <w:r w:rsidRPr="001C5D15">
        <w:rPr>
          <w:rFonts w:ascii="IRBadr" w:hAnsi="IRBadr" w:cs="IRBadr" w:hint="cs"/>
          <w:color w:val="008000"/>
          <w:sz w:val="34"/>
          <w:rtl/>
        </w:rPr>
        <w:t>«</w:t>
      </w:r>
      <w:r w:rsidRPr="001C5D15">
        <w:rPr>
          <w:rFonts w:ascii="IRBadr" w:hAnsi="IRBadr" w:cs="IRBadr"/>
          <w:color w:val="008000"/>
          <w:sz w:val="34"/>
          <w:rtl/>
        </w:rPr>
        <w:t>عُفِيَ عَنْ أُمَّتِي ثَلَاثٌ الْخَطَأُ وَ النِّسْيَانُ وَ الِاسْتِكْرَاهُ وَ قَالَ أَبُو عَبْدِ اللَّهِ ع وَ فِيهَا رَابِعَةٌ وَ مَا لَا يُطِيقُونَ</w:t>
      </w:r>
      <w:r w:rsidRPr="001C5D15">
        <w:rPr>
          <w:rFonts w:ascii="IRBadr" w:hAnsi="IRBadr" w:cs="IRBadr" w:hint="cs"/>
          <w:color w:val="008000"/>
          <w:sz w:val="34"/>
          <w:rtl/>
        </w:rPr>
        <w:t>»</w:t>
      </w:r>
      <w:r>
        <w:rPr>
          <w:rStyle w:val="FootnoteReference"/>
          <w:rFonts w:ascii="IRBadr" w:hAnsi="IRBadr" w:cs="IRBadr"/>
          <w:sz w:val="34"/>
          <w:rtl/>
        </w:rPr>
        <w:footnoteReference w:id="13"/>
      </w:r>
      <w:r w:rsidRPr="001C5D15">
        <w:rPr>
          <w:rFonts w:ascii="IRBadr" w:hAnsi="IRBadr" w:cs="IRBadr"/>
          <w:sz w:val="34"/>
          <w:rtl/>
        </w:rPr>
        <w:t>.</w:t>
      </w:r>
    </w:p>
    <w:p w14:paraId="443B5F9E" w14:textId="25C91FC5" w:rsidR="001C5D15" w:rsidRDefault="001C5D15" w:rsidP="001C5D15">
      <w:pPr>
        <w:ind w:firstLine="397"/>
        <w:rPr>
          <w:rFonts w:ascii="IRBadr" w:hAnsi="IRBadr" w:cs="IRBadr"/>
          <w:sz w:val="34"/>
          <w:rtl/>
        </w:rPr>
      </w:pPr>
      <w:r>
        <w:rPr>
          <w:rFonts w:ascii="IRBadr" w:hAnsi="IRBadr" w:cs="IRBadr" w:hint="cs"/>
          <w:sz w:val="34"/>
          <w:rtl/>
        </w:rPr>
        <w:lastRenderedPageBreak/>
        <w:t>تعبیر «ثلاث» و «رابعة» نشان می‌دهد که معدود، مونث است. واژه «ثلاث»، عدد است که معدودش مونث است و کلمه «رابعة» صفت است و موصوفش باید مونث باشد. واژه مونّثی که مناسب است در این نقل‌ها ملحوظ باشد و در برخی از نقل‌ها هم به آن تصریح شده، واژه «خصلة» است.</w:t>
      </w:r>
      <w:r w:rsidR="004A29FB">
        <w:rPr>
          <w:rFonts w:ascii="IRBadr" w:hAnsi="IRBadr" w:cs="IRBadr" w:hint="cs"/>
          <w:sz w:val="34"/>
          <w:rtl/>
        </w:rPr>
        <w:t xml:space="preserve"> در عصر کنونی خصلت به معنای </w:t>
      </w:r>
      <w:r>
        <w:rPr>
          <w:rFonts w:ascii="IRBadr" w:hAnsi="IRBadr" w:cs="IRBadr" w:hint="cs"/>
          <w:sz w:val="34"/>
          <w:rtl/>
        </w:rPr>
        <w:t xml:space="preserve">هیئات و ملکات ثابته انسان </w:t>
      </w:r>
      <w:r w:rsidR="004A29FB">
        <w:rPr>
          <w:rFonts w:ascii="IRBadr" w:hAnsi="IRBadr" w:cs="IRBadr" w:hint="cs"/>
          <w:sz w:val="34"/>
          <w:rtl/>
        </w:rPr>
        <w:t>به کار می‌رود</w:t>
      </w:r>
      <w:r>
        <w:rPr>
          <w:rFonts w:ascii="IRBadr" w:hAnsi="IRBadr" w:cs="IRBadr" w:hint="cs"/>
          <w:sz w:val="34"/>
          <w:rtl/>
        </w:rPr>
        <w:t>؛ مثل نیک‌خویی و بدخویی و خسّت</w:t>
      </w:r>
      <w:r w:rsidR="00067AFE">
        <w:rPr>
          <w:rFonts w:ascii="IRBadr" w:hAnsi="IRBadr" w:cs="IRBadr" w:hint="cs"/>
          <w:sz w:val="34"/>
          <w:rtl/>
        </w:rPr>
        <w:t xml:space="preserve"> و جود</w:t>
      </w:r>
      <w:r>
        <w:rPr>
          <w:rFonts w:ascii="IRBadr" w:hAnsi="IRBadr" w:cs="IRBadr" w:hint="cs"/>
          <w:sz w:val="34"/>
          <w:rtl/>
        </w:rPr>
        <w:t>،</w:t>
      </w:r>
      <w:r w:rsidR="004A29FB">
        <w:rPr>
          <w:rFonts w:ascii="IRBadr" w:hAnsi="IRBadr" w:cs="IRBadr" w:hint="cs"/>
          <w:sz w:val="34"/>
          <w:rtl/>
        </w:rPr>
        <w:t xml:space="preserve"> ولی در زمان گذشته</w:t>
      </w:r>
      <w:r>
        <w:rPr>
          <w:rFonts w:ascii="IRBadr" w:hAnsi="IRBadr" w:cs="IRBadr" w:hint="cs"/>
          <w:sz w:val="34"/>
          <w:rtl/>
        </w:rPr>
        <w:t xml:space="preserve"> واژه خصال</w:t>
      </w:r>
      <w:r w:rsidR="004A29FB">
        <w:rPr>
          <w:rFonts w:ascii="IRBadr" w:hAnsi="IRBadr" w:cs="IRBadr" w:hint="cs"/>
          <w:sz w:val="34"/>
          <w:rtl/>
        </w:rPr>
        <w:t xml:space="preserve"> به معنای اعم از اوصاف ثابته و افعال</w:t>
      </w:r>
      <w:r>
        <w:rPr>
          <w:rFonts w:ascii="IRBadr" w:hAnsi="IRBadr" w:cs="IRBadr" w:hint="cs"/>
          <w:sz w:val="34"/>
          <w:rtl/>
        </w:rPr>
        <w:t>ی است که از</w:t>
      </w:r>
      <w:r w:rsidR="004A29FB">
        <w:rPr>
          <w:rFonts w:ascii="IRBadr" w:hAnsi="IRBadr" w:cs="IRBadr" w:hint="cs"/>
          <w:sz w:val="34"/>
          <w:rtl/>
        </w:rPr>
        <w:t xml:space="preserve"> انسان </w:t>
      </w:r>
      <w:r>
        <w:rPr>
          <w:rFonts w:ascii="IRBadr" w:hAnsi="IRBadr" w:cs="IRBadr" w:hint="cs"/>
          <w:sz w:val="34"/>
          <w:rtl/>
        </w:rPr>
        <w:t>سر می‌زند</w:t>
      </w:r>
      <w:r w:rsidR="004A29FB">
        <w:rPr>
          <w:rFonts w:ascii="IRBadr" w:hAnsi="IRBadr" w:cs="IRBadr" w:hint="cs"/>
          <w:sz w:val="34"/>
          <w:rtl/>
        </w:rPr>
        <w:t xml:space="preserve">. </w:t>
      </w:r>
      <w:r>
        <w:rPr>
          <w:rFonts w:ascii="IRBadr" w:hAnsi="IRBadr" w:cs="IRBadr" w:hint="cs"/>
          <w:sz w:val="34"/>
          <w:rtl/>
        </w:rPr>
        <w:t xml:space="preserve">ما این استعمالات را یادداشت نموده‌ایم ولی </w:t>
      </w:r>
      <w:r w:rsidR="00067AFE">
        <w:rPr>
          <w:rFonts w:ascii="IRBadr" w:hAnsi="IRBadr" w:cs="IRBadr" w:hint="cs"/>
          <w:sz w:val="34"/>
          <w:rtl/>
        </w:rPr>
        <w:t xml:space="preserve">فی الحال </w:t>
      </w:r>
      <w:r>
        <w:rPr>
          <w:rFonts w:ascii="IRBadr" w:hAnsi="IRBadr" w:cs="IRBadr" w:hint="cs"/>
          <w:sz w:val="34"/>
          <w:rtl/>
        </w:rPr>
        <w:t>با تکیه بر حافظه برخی از آنها را نقل می‌نماییم</w:t>
      </w:r>
      <w:r w:rsidR="00067AFE">
        <w:rPr>
          <w:rFonts w:ascii="IRBadr" w:hAnsi="IRBadr" w:cs="IRBadr" w:hint="cs"/>
          <w:sz w:val="34"/>
          <w:rtl/>
        </w:rPr>
        <w:t>.</w:t>
      </w:r>
    </w:p>
    <w:p w14:paraId="7E87E3EF" w14:textId="5FBA67C9" w:rsidR="004A29FB" w:rsidRDefault="00067AFE" w:rsidP="00275773">
      <w:pPr>
        <w:ind w:firstLine="397"/>
        <w:rPr>
          <w:rFonts w:ascii="IRBadr" w:hAnsi="IRBadr" w:cs="IRBadr"/>
          <w:sz w:val="34"/>
        </w:rPr>
      </w:pPr>
      <w:r>
        <w:rPr>
          <w:rFonts w:ascii="IRBadr" w:hAnsi="IRBadr" w:cs="IRBadr" w:hint="cs"/>
          <w:sz w:val="34"/>
          <w:rtl/>
        </w:rPr>
        <w:t xml:space="preserve">در کتاب لغت العین، در معنای این واژه آمده است: </w:t>
      </w:r>
      <w:r w:rsidRPr="00067AFE">
        <w:rPr>
          <w:rFonts w:ascii="IRBadr" w:hAnsi="IRBadr" w:cs="IRBadr" w:hint="cs"/>
          <w:color w:val="000080"/>
          <w:sz w:val="34"/>
          <w:rtl/>
        </w:rPr>
        <w:t>«</w:t>
      </w:r>
      <w:r w:rsidRPr="00067AFE">
        <w:rPr>
          <w:rFonts w:ascii="IRBadr" w:hAnsi="IRBadr" w:cs="IRBadr"/>
          <w:color w:val="000080"/>
          <w:sz w:val="34"/>
          <w:rtl/>
        </w:rPr>
        <w:t>و الخِصَالُ: حالات الأمور، الواحدة: خَصْلَةٌ</w:t>
      </w:r>
      <w:r w:rsidRPr="00067AFE">
        <w:rPr>
          <w:rFonts w:ascii="IRBadr" w:hAnsi="IRBadr" w:cs="IRBadr" w:hint="cs"/>
          <w:color w:val="000080"/>
          <w:sz w:val="34"/>
          <w:rtl/>
        </w:rPr>
        <w:t>»</w:t>
      </w:r>
      <w:r>
        <w:rPr>
          <w:rStyle w:val="FootnoteReference"/>
          <w:rFonts w:ascii="IRBadr" w:hAnsi="IRBadr" w:cs="IRBadr"/>
          <w:color w:val="000080"/>
          <w:sz w:val="34"/>
          <w:rtl/>
        </w:rPr>
        <w:footnoteReference w:id="14"/>
      </w:r>
      <w:r>
        <w:rPr>
          <w:rFonts w:ascii="IRBadr" w:hAnsi="IRBadr" w:cs="IRBadr" w:hint="cs"/>
          <w:sz w:val="34"/>
          <w:rtl/>
        </w:rPr>
        <w:t>. ظاهرا مراد ایشان اعم از حال ثابت و همچنین فعلی است که صادر می‌شود. در برخی از کلمات متاخرتر چنین آمده است:</w:t>
      </w:r>
      <w:r>
        <w:rPr>
          <w:rFonts w:ascii="IRBadr" w:hAnsi="IRBadr" w:cs="IRBadr"/>
          <w:sz w:val="34"/>
        </w:rPr>
        <w:t xml:space="preserve"> </w:t>
      </w:r>
      <w:r w:rsidRPr="00067AFE">
        <w:rPr>
          <w:rFonts w:ascii="IRBadr" w:hAnsi="IRBadr" w:cs="IRBadr" w:hint="cs"/>
          <w:color w:val="000080"/>
          <w:sz w:val="34"/>
          <w:rtl/>
        </w:rPr>
        <w:t>«</w:t>
      </w:r>
      <w:r w:rsidRPr="00067AFE">
        <w:rPr>
          <w:rFonts w:ascii="IRBadr" w:hAnsi="IRBadr" w:cs="IRBadr"/>
          <w:color w:val="000080"/>
          <w:sz w:val="34"/>
          <w:rtl/>
        </w:rPr>
        <w:t>الْخَصْلَةُ: الفضيلةُ و الرَّذيلة تكونُ في الإنسانِ، و قد غلبَ على الفضيلَة</w:t>
      </w:r>
      <w:r w:rsidRPr="00067AFE">
        <w:rPr>
          <w:rFonts w:ascii="IRBadr" w:hAnsi="IRBadr" w:cs="IRBadr" w:hint="cs"/>
          <w:color w:val="000080"/>
          <w:sz w:val="34"/>
          <w:rtl/>
        </w:rPr>
        <w:t>»</w:t>
      </w:r>
      <w:r>
        <w:rPr>
          <w:rStyle w:val="FootnoteReference"/>
          <w:rFonts w:ascii="IRBadr" w:hAnsi="IRBadr" w:cs="IRBadr"/>
          <w:sz w:val="34"/>
          <w:rtl/>
        </w:rPr>
        <w:footnoteReference w:id="15"/>
      </w:r>
      <w:r>
        <w:rPr>
          <w:rFonts w:ascii="IRBadr" w:hAnsi="IRBadr" w:cs="IRBadr" w:hint="cs"/>
          <w:sz w:val="34"/>
          <w:rtl/>
        </w:rPr>
        <w:t>.</w:t>
      </w:r>
      <w:r w:rsidR="00275773">
        <w:rPr>
          <w:rFonts w:ascii="IRBadr" w:hAnsi="IRBadr" w:cs="IRBadr" w:hint="cs"/>
          <w:sz w:val="34"/>
          <w:rtl/>
        </w:rPr>
        <w:t xml:space="preserve"> این معنا با همان معنای کنونی خصلت تناسب دارد. این در لغت است، اما از جهت استعمالات، استعمال این واژه در افعال روشن و شایع است؛ </w:t>
      </w:r>
      <w:r w:rsidR="004A29FB">
        <w:rPr>
          <w:rFonts w:ascii="IRBadr" w:hAnsi="IRBadr" w:cs="IRBadr" w:hint="cs"/>
          <w:sz w:val="34"/>
          <w:rtl/>
        </w:rPr>
        <w:t xml:space="preserve">مثل: </w:t>
      </w:r>
      <w:r w:rsidR="004A29FB" w:rsidRPr="004A29FB">
        <w:rPr>
          <w:rFonts w:ascii="IRBadr" w:hAnsi="IRBadr" w:cs="IRBadr" w:hint="cs"/>
          <w:color w:val="008000"/>
          <w:sz w:val="34"/>
          <w:rtl/>
        </w:rPr>
        <w:t>«</w:t>
      </w:r>
      <w:r w:rsidR="004A29FB" w:rsidRPr="004A29FB">
        <w:rPr>
          <w:rFonts w:ascii="IRBadr" w:hAnsi="IRBadr" w:cs="IRBadr"/>
          <w:color w:val="008000"/>
          <w:sz w:val="34"/>
          <w:rtl/>
        </w:rPr>
        <w:t>لَا يَضُرُّ الصَّائِمَ مَا صَنَعَ إِذَا اجْتَنَبَ أَرْبَعَ خِصَالٍ الطَّعَامَ وَ الشَّرَابَ وَ النِّسَاءَ وَ الِارْتِمَاسَ فِي الْمَاءِ</w:t>
      </w:r>
      <w:r w:rsidR="004A29FB" w:rsidRPr="004A29FB">
        <w:rPr>
          <w:rFonts w:ascii="IRBadr" w:hAnsi="IRBadr" w:cs="IRBadr" w:hint="cs"/>
          <w:color w:val="008000"/>
          <w:sz w:val="34"/>
          <w:rtl/>
        </w:rPr>
        <w:t>»</w:t>
      </w:r>
      <w:r w:rsidR="004A29FB">
        <w:rPr>
          <w:rStyle w:val="FootnoteReference"/>
          <w:rFonts w:ascii="IRBadr" w:hAnsi="IRBadr" w:cs="IRBadr"/>
          <w:color w:val="008000"/>
          <w:sz w:val="34"/>
          <w:rtl/>
        </w:rPr>
        <w:footnoteReference w:id="16"/>
      </w:r>
      <w:r w:rsidR="004A29FB" w:rsidRPr="004A29FB">
        <w:rPr>
          <w:rFonts w:ascii="IRBadr" w:hAnsi="IRBadr" w:cs="IRBadr"/>
          <w:sz w:val="34"/>
          <w:rtl/>
        </w:rPr>
        <w:t>.</w:t>
      </w:r>
    </w:p>
    <w:p w14:paraId="5E8E07BE" w14:textId="714306A1" w:rsidR="00BC7FC8" w:rsidRDefault="00275773" w:rsidP="00275773">
      <w:pPr>
        <w:rPr>
          <w:rFonts w:ascii="IRBadr" w:hAnsi="IRBadr" w:cs="IRBadr"/>
          <w:sz w:val="34"/>
          <w:rtl/>
        </w:rPr>
      </w:pPr>
      <w:r>
        <w:rPr>
          <w:rFonts w:ascii="IRBadr" w:hAnsi="IRBadr" w:cs="IRBadr" w:hint="cs"/>
          <w:sz w:val="34"/>
          <w:rtl/>
        </w:rPr>
        <w:t xml:space="preserve">غرض آنکه خصال به معنای حالات نفسانی انسان و افعالی است که از انسان صادر می‌شود. از این رو، وجوب نماز جمعه خصلت انسان به شمار نمی‌رود. وجوب نماز جمعه یک امر اعتباری است که از فعل خداوند -که ایجاب است- انتزاع شده است. </w:t>
      </w:r>
      <w:r w:rsidR="004A29FB">
        <w:rPr>
          <w:rFonts w:ascii="IRBadr" w:hAnsi="IRBadr" w:cs="IRBadr" w:hint="cs"/>
          <w:sz w:val="34"/>
          <w:rtl/>
        </w:rPr>
        <w:t>مرحوم شیخ بیان کرده است که آنچه در فقرات مختلف اراده شده، افعال است ولی مرحوم آخوند بر ایشان اشکال نموده که مراد، اعم از افعال و احکام است.</w:t>
      </w:r>
      <w:r>
        <w:rPr>
          <w:rFonts w:ascii="IRBadr" w:hAnsi="IRBadr" w:cs="IRBadr" w:hint="cs"/>
          <w:sz w:val="34"/>
          <w:rtl/>
        </w:rPr>
        <w:t xml:space="preserve"> مراد ایشان از احکام اگر ایجاب است، صحیح نیست؛ چرا که ایجاب فعل خداوند است، و اگر مرادشان وجوب است، این هم یک عنوان انتزاعی است، و ظاهر تعبیر «رفع عن أمتی تسع خصال» آن است که در صدد بیان خصال امّت است، و وجوب از خصلت‌های امت نیست. نتیجه آنکه</w:t>
      </w:r>
      <w:r w:rsidR="004A29FB">
        <w:rPr>
          <w:rFonts w:ascii="IRBadr" w:hAnsi="IRBadr" w:cs="IRBadr" w:hint="cs"/>
          <w:sz w:val="34"/>
          <w:rtl/>
        </w:rPr>
        <w:t xml:space="preserve"> سخن شیح صحیح به نظر می‌رسد</w:t>
      </w:r>
      <w:r w:rsidR="009C486D">
        <w:rPr>
          <w:rFonts w:ascii="IRBadr" w:hAnsi="IRBadr" w:cs="IRBadr" w:hint="cs"/>
          <w:sz w:val="34"/>
          <w:rtl/>
        </w:rPr>
        <w:t xml:space="preserve"> که فقرات این روایت ناظر به افعال است.</w:t>
      </w:r>
    </w:p>
    <w:p w14:paraId="33625104" w14:textId="6869C09B" w:rsidR="00AB02C5" w:rsidRDefault="00AB02C5" w:rsidP="00AB02C5">
      <w:pPr>
        <w:pStyle w:val="Heading1"/>
        <w:rPr>
          <w:rtl/>
        </w:rPr>
      </w:pPr>
      <w:bookmarkStart w:id="23" w:name="_Toc218545413"/>
      <w:bookmarkStart w:id="24" w:name="_Toc218545423"/>
      <w:r>
        <w:rPr>
          <w:rFonts w:hint="cs"/>
          <w:rtl/>
        </w:rPr>
        <w:t>ذکر چند نکته در مورد حدیث رفع</w:t>
      </w:r>
      <w:bookmarkEnd w:id="23"/>
      <w:bookmarkEnd w:id="24"/>
    </w:p>
    <w:p w14:paraId="7DFD56FD" w14:textId="77777777" w:rsidR="00E51EB3" w:rsidRDefault="00A74752" w:rsidP="00575E95">
      <w:pPr>
        <w:rPr>
          <w:rFonts w:ascii="IRBadr" w:hAnsi="IRBadr" w:cs="IRBadr"/>
          <w:sz w:val="34"/>
          <w:rtl/>
        </w:rPr>
      </w:pPr>
      <w:r>
        <w:rPr>
          <w:rFonts w:ascii="IRBadr" w:hAnsi="IRBadr" w:cs="IRBadr" w:hint="cs"/>
          <w:sz w:val="34"/>
          <w:rtl/>
        </w:rPr>
        <w:t>نتیجه آنکه فقره «رفع ما لا یعلمون» بدین معنی است: «</w:t>
      </w:r>
      <w:r w:rsidR="004A29FB">
        <w:rPr>
          <w:rFonts w:ascii="IRBadr" w:hAnsi="IRBadr" w:cs="IRBadr" w:hint="cs"/>
          <w:sz w:val="34"/>
          <w:rtl/>
        </w:rPr>
        <w:t>الأمر الذی لا یعلم وجوبه فلیس بواجب</w:t>
      </w:r>
      <w:r>
        <w:rPr>
          <w:rFonts w:ascii="IRBadr" w:hAnsi="IRBadr" w:cs="IRBadr" w:hint="cs"/>
          <w:sz w:val="34"/>
          <w:rtl/>
        </w:rPr>
        <w:t xml:space="preserve">». </w:t>
      </w:r>
      <w:r w:rsidR="004A29FB">
        <w:rPr>
          <w:rFonts w:ascii="IRBadr" w:hAnsi="IRBadr" w:cs="IRBadr" w:hint="cs"/>
          <w:sz w:val="34"/>
          <w:rtl/>
        </w:rPr>
        <w:t>رفع به معنای رفع الزام است</w:t>
      </w:r>
      <w:r w:rsidR="00C44486">
        <w:rPr>
          <w:rFonts w:ascii="IRBadr" w:hAnsi="IRBadr" w:cs="IRBadr" w:hint="cs"/>
          <w:sz w:val="34"/>
          <w:rtl/>
        </w:rPr>
        <w:t>. البته توجه شود که هرچند رفع به معنای رفع الزام است،</w:t>
      </w:r>
      <w:r w:rsidR="004A29FB">
        <w:rPr>
          <w:rFonts w:ascii="IRBadr" w:hAnsi="IRBadr" w:cs="IRBadr" w:hint="cs"/>
          <w:sz w:val="34"/>
          <w:rtl/>
        </w:rPr>
        <w:t xml:space="preserve"> ولی در متعلق رفع،</w:t>
      </w:r>
      <w:r w:rsidR="00C44486">
        <w:rPr>
          <w:rFonts w:ascii="IRBadr" w:hAnsi="IRBadr" w:cs="IRBadr" w:hint="cs"/>
          <w:sz w:val="34"/>
          <w:rtl/>
        </w:rPr>
        <w:t xml:space="preserve"> معنای</w:t>
      </w:r>
      <w:r w:rsidR="004A29FB">
        <w:rPr>
          <w:rFonts w:ascii="IRBadr" w:hAnsi="IRBadr" w:cs="IRBadr" w:hint="cs"/>
          <w:sz w:val="34"/>
          <w:rtl/>
        </w:rPr>
        <w:t xml:space="preserve"> لزوم نیست.</w:t>
      </w:r>
      <w:r w:rsidR="00C44486">
        <w:rPr>
          <w:rFonts w:ascii="IRBadr" w:hAnsi="IRBadr" w:cs="IRBadr" w:hint="cs"/>
          <w:sz w:val="34"/>
          <w:rtl/>
        </w:rPr>
        <w:t xml:space="preserve"> توضیح آنکه مثلا در مورد وضع و کتابت تکلیف</w:t>
      </w:r>
      <w:r w:rsidR="004A29FB">
        <w:rPr>
          <w:rFonts w:ascii="IRBadr" w:hAnsi="IRBadr" w:cs="IRBadr" w:hint="cs"/>
          <w:sz w:val="34"/>
          <w:rtl/>
        </w:rPr>
        <w:t xml:space="preserve"> در استعمالات گفته نمی‌شود: «ک</w:t>
      </w:r>
      <w:r w:rsidR="00C44486">
        <w:rPr>
          <w:rFonts w:ascii="IRBadr" w:hAnsi="IRBadr" w:cs="IRBadr" w:hint="cs"/>
          <w:sz w:val="34"/>
          <w:rtl/>
        </w:rPr>
        <w:t>ُ</w:t>
      </w:r>
      <w:r w:rsidR="004A29FB">
        <w:rPr>
          <w:rFonts w:ascii="IRBadr" w:hAnsi="IRBadr" w:cs="IRBadr" w:hint="cs"/>
          <w:sz w:val="34"/>
          <w:rtl/>
        </w:rPr>
        <w:t>ت</w:t>
      </w:r>
      <w:r w:rsidR="00C44486">
        <w:rPr>
          <w:rFonts w:ascii="IRBadr" w:hAnsi="IRBadr" w:cs="IRBadr" w:hint="cs"/>
          <w:sz w:val="34"/>
          <w:rtl/>
        </w:rPr>
        <w:t>ِ</w:t>
      </w:r>
      <w:r w:rsidR="004A29FB">
        <w:rPr>
          <w:rFonts w:ascii="IRBadr" w:hAnsi="IRBadr" w:cs="IRBadr" w:hint="cs"/>
          <w:sz w:val="34"/>
          <w:rtl/>
        </w:rPr>
        <w:t>ب وجوب الصلاة</w:t>
      </w:r>
      <w:r w:rsidR="00C44486">
        <w:rPr>
          <w:rFonts w:ascii="IRBadr" w:hAnsi="IRBadr" w:cs="IRBadr" w:hint="cs"/>
          <w:sz w:val="34"/>
          <w:rtl/>
        </w:rPr>
        <w:t xml:space="preserve"> و کتب وجوب الصیام</w:t>
      </w:r>
      <w:r w:rsidR="004A29FB">
        <w:rPr>
          <w:rFonts w:ascii="IRBadr" w:hAnsi="IRBadr" w:cs="IRBadr" w:hint="cs"/>
          <w:sz w:val="34"/>
          <w:rtl/>
        </w:rPr>
        <w:t xml:space="preserve">»؛ بلکه بیان می‌شود: «کتب الصلاة و الصوم». </w:t>
      </w:r>
      <w:r w:rsidR="00C44486">
        <w:rPr>
          <w:rFonts w:ascii="IRBadr" w:hAnsi="IRBadr" w:cs="IRBadr" w:hint="cs"/>
          <w:sz w:val="34"/>
          <w:rtl/>
        </w:rPr>
        <w:t xml:space="preserve">کتب افعال به معنای الزام به افعال است. رفع در مقابل آن است. بنابراین حدیث رفع بدین معنی است: «الإلزام عن الأفعال المجهولة الإلزام </w:t>
      </w:r>
      <w:r w:rsidR="00575E95">
        <w:rPr>
          <w:rFonts w:ascii="IRBadr" w:hAnsi="IRBadr" w:cs="IRBadr" w:hint="cs"/>
          <w:sz w:val="34"/>
          <w:rtl/>
        </w:rPr>
        <w:t xml:space="preserve">مرتفع». </w:t>
      </w:r>
    </w:p>
    <w:p w14:paraId="1DA67182" w14:textId="14FE61DF" w:rsidR="001F707C" w:rsidRDefault="00575E95" w:rsidP="00575E95">
      <w:pPr>
        <w:rPr>
          <w:rFonts w:ascii="IRBadr" w:hAnsi="IRBadr" w:cs="IRBadr"/>
          <w:sz w:val="34"/>
          <w:rtl/>
        </w:rPr>
      </w:pPr>
      <w:r>
        <w:rPr>
          <w:rFonts w:ascii="IRBadr" w:hAnsi="IRBadr" w:cs="IRBadr" w:hint="cs"/>
          <w:sz w:val="34"/>
          <w:rtl/>
        </w:rPr>
        <w:t xml:space="preserve">در مورد معنای رفع تذکّر این نکته لازم است که رفع به معنای نبودن نیست. </w:t>
      </w:r>
      <w:r w:rsidR="001F707C">
        <w:rPr>
          <w:rFonts w:ascii="IRBadr" w:hAnsi="IRBadr" w:cs="IRBadr" w:hint="cs"/>
          <w:sz w:val="34"/>
          <w:rtl/>
        </w:rPr>
        <w:t xml:space="preserve">برخی رفع را به معنای نبودن دانسته‌اند. این سخن تمام نیست. رفع به معنای برداشتن از گردن است که با «عن» متعدی می‌شود؛ یعنی یک چیزی </w:t>
      </w:r>
      <w:r>
        <w:rPr>
          <w:rFonts w:ascii="IRBadr" w:hAnsi="IRBadr" w:cs="IRBadr" w:hint="cs"/>
          <w:sz w:val="34"/>
          <w:rtl/>
        </w:rPr>
        <w:t xml:space="preserve">که </w:t>
      </w:r>
      <w:r w:rsidR="001F707C">
        <w:rPr>
          <w:rFonts w:ascii="IRBadr" w:hAnsi="IRBadr" w:cs="IRBadr" w:hint="cs"/>
          <w:sz w:val="34"/>
          <w:rtl/>
        </w:rPr>
        <w:t xml:space="preserve">بر گردن انسان </w:t>
      </w:r>
      <w:r>
        <w:rPr>
          <w:rFonts w:ascii="IRBadr" w:hAnsi="IRBadr" w:cs="IRBadr" w:hint="cs"/>
          <w:sz w:val="34"/>
          <w:rtl/>
        </w:rPr>
        <w:t xml:space="preserve">است </w:t>
      </w:r>
      <w:r w:rsidR="001F707C">
        <w:rPr>
          <w:rFonts w:ascii="IRBadr" w:hAnsi="IRBadr" w:cs="IRBadr" w:hint="cs"/>
          <w:sz w:val="34"/>
          <w:rtl/>
        </w:rPr>
        <w:t>برداشته می‌شود.</w:t>
      </w:r>
      <w:r>
        <w:rPr>
          <w:rFonts w:ascii="IRBadr" w:hAnsi="IRBadr" w:cs="IRBadr" w:hint="cs"/>
          <w:sz w:val="34"/>
          <w:rtl/>
        </w:rPr>
        <w:t xml:space="preserve"> بنابراین،</w:t>
      </w:r>
      <w:r w:rsidR="001F707C">
        <w:rPr>
          <w:rFonts w:ascii="IRBadr" w:hAnsi="IRBadr" w:cs="IRBadr" w:hint="cs"/>
          <w:sz w:val="34"/>
          <w:rtl/>
        </w:rPr>
        <w:t xml:space="preserve"> ممکن است چیزی وجود داشته باشد ولی بر گردن نباشد</w:t>
      </w:r>
      <w:r>
        <w:rPr>
          <w:rFonts w:ascii="IRBadr" w:hAnsi="IRBadr" w:cs="IRBadr" w:hint="cs"/>
          <w:sz w:val="34"/>
          <w:rtl/>
        </w:rPr>
        <w:t>، نه آنکه از اساس، وجود نداشته باشد.</w:t>
      </w:r>
      <w:r w:rsidR="001F707C">
        <w:rPr>
          <w:rFonts w:ascii="IRBadr" w:hAnsi="IRBadr" w:cs="IRBadr" w:hint="cs"/>
          <w:sz w:val="34"/>
          <w:rtl/>
        </w:rPr>
        <w:t xml:space="preserve"> رفع گناه بدین معنی نیست که گناه وجود ندارد؛ بلکه </w:t>
      </w:r>
      <w:r>
        <w:rPr>
          <w:rFonts w:ascii="IRBadr" w:hAnsi="IRBadr" w:cs="IRBadr" w:hint="cs"/>
          <w:sz w:val="34"/>
          <w:rtl/>
        </w:rPr>
        <w:t xml:space="preserve">گناه </w:t>
      </w:r>
      <w:r w:rsidR="001F707C">
        <w:rPr>
          <w:rFonts w:ascii="IRBadr" w:hAnsi="IRBadr" w:cs="IRBadr" w:hint="cs"/>
          <w:sz w:val="34"/>
          <w:rtl/>
        </w:rPr>
        <w:t>وجود دارد ولی گردن‌گیر نیست؛ یعنی عقوبت یا اثری که داشته برداشته شده است.</w:t>
      </w:r>
      <w:r w:rsidR="00E51EB3">
        <w:rPr>
          <w:rFonts w:ascii="IRBadr" w:hAnsi="IRBadr" w:cs="IRBadr" w:hint="cs"/>
          <w:sz w:val="34"/>
          <w:rtl/>
        </w:rPr>
        <w:t xml:space="preserve"> اینکه مرحوم نایینی بحث کرده که رفع به معنای برداشتن وجود تعبدی است یا وجود غیرتعبدی، مبتنی بر آن است که رفع به معنای اعدام باشد؛ در حالی که معنای رفع، ‌اعدام نیست؛ بلکه از گردن برداشتن است.</w:t>
      </w:r>
    </w:p>
    <w:p w14:paraId="1F5EA0B1" w14:textId="7628B7E4" w:rsidR="0009286D" w:rsidRDefault="00E51EB3" w:rsidP="0009286D">
      <w:pPr>
        <w:rPr>
          <w:rFonts w:ascii="IRBadr" w:hAnsi="IRBadr" w:cs="IRBadr"/>
          <w:sz w:val="34"/>
          <w:rtl/>
        </w:rPr>
      </w:pPr>
      <w:r>
        <w:rPr>
          <w:rFonts w:ascii="IRBadr" w:hAnsi="IRBadr" w:cs="IRBadr" w:hint="cs"/>
          <w:sz w:val="34"/>
          <w:rtl/>
        </w:rPr>
        <w:lastRenderedPageBreak/>
        <w:t>در استعمالات قدیمی، رفع به افعال تعلق گرفته، نه احکام، و مراد از رفع افعال هم به دو گونه است. رفع افعال واقع‌شده به معنای رفع مواخذه است که اگر مواخذه دنیوی باشد رفع کفاره و اگر مواخذه اخروی باشد رفع عقاب است، و رفع افعال واقع‌نشده، به معنای رفع الزام نسبت به آنها است.</w:t>
      </w:r>
      <w:r w:rsidR="0009286D">
        <w:rPr>
          <w:rFonts w:ascii="IRBadr" w:hAnsi="IRBadr" w:cs="IRBadr" w:hint="cs"/>
          <w:sz w:val="34"/>
          <w:rtl/>
        </w:rPr>
        <w:t xml:space="preserve"> حدیث رفع ظاهرا ناظر به افعال واقع‌نشده است؛ بنابراین حدیث رفع بدین معنی است که الزام نسبت به ما لا یعلمون برداشته شده است. مصداق «ما لا یعلمون» عبارت از واجبات و ترک محرمات است، نه خود محرمات. اگر متعلق رفع، فعل واقع شده باشد، خود محرمات اراده می‌شود.</w:t>
      </w:r>
      <w:r w:rsidR="007A67BC">
        <w:rPr>
          <w:rFonts w:ascii="IRBadr" w:hAnsi="IRBadr" w:cs="IRBadr" w:hint="cs"/>
          <w:sz w:val="34"/>
          <w:rtl/>
        </w:rPr>
        <w:t xml:space="preserve"> با این بیان، سخن مرحوم شیخ که بیان نموده که حدیث رفع تنها ناظر به رفع مواخذه است و دال بر رفع احکام وضعی نیست، مطرح می‌شود.</w:t>
      </w:r>
    </w:p>
    <w:p w14:paraId="13239B2C" w14:textId="1E814AA8" w:rsidR="00AB02C5" w:rsidRDefault="00AB02C5" w:rsidP="000C25DB">
      <w:pPr>
        <w:pStyle w:val="Heading1"/>
        <w:rPr>
          <w:rtl/>
        </w:rPr>
      </w:pPr>
      <w:bookmarkStart w:id="25" w:name="_Toc218545414"/>
      <w:bookmarkStart w:id="26" w:name="_Toc218545424"/>
      <w:r>
        <w:rPr>
          <w:rFonts w:hint="cs"/>
          <w:rtl/>
        </w:rPr>
        <w:t>مباحث پیش رو</w:t>
      </w:r>
      <w:bookmarkEnd w:id="25"/>
      <w:bookmarkEnd w:id="26"/>
    </w:p>
    <w:p w14:paraId="43B9147A" w14:textId="6B323D87" w:rsidR="007A67BC" w:rsidRDefault="007A67BC" w:rsidP="007A67BC">
      <w:pPr>
        <w:rPr>
          <w:rFonts w:ascii="IRBadr" w:hAnsi="IRBadr" w:cs="IRBadr"/>
          <w:sz w:val="34"/>
          <w:rtl/>
        </w:rPr>
      </w:pPr>
      <w:r>
        <w:rPr>
          <w:rFonts w:ascii="IRBadr" w:hAnsi="IRBadr" w:cs="IRBadr" w:hint="cs"/>
          <w:sz w:val="34"/>
          <w:rtl/>
        </w:rPr>
        <w:t xml:space="preserve">مرحوم شیخ بیان نموده که هرچند ظهور بدوی این روایت رفع مواخذه است ولی به قرینه روایت صفوان و بزنطی از امام رضا علیه السلام که در رفع حکم وضعی به آن تمسک شده، از این روایت یک معنای عام استفاده می‌شود. ما در این رابطه در جای خود به صورت بسیار مفصّل </w:t>
      </w:r>
      <w:r w:rsidR="00B22EF0">
        <w:rPr>
          <w:rFonts w:ascii="IRBadr" w:hAnsi="IRBadr" w:cs="IRBadr" w:hint="cs"/>
          <w:sz w:val="34"/>
          <w:rtl/>
        </w:rPr>
        <w:t xml:space="preserve">(حدود سی جلسه) </w:t>
      </w:r>
      <w:r>
        <w:rPr>
          <w:rFonts w:ascii="IRBadr" w:hAnsi="IRBadr" w:cs="IRBadr" w:hint="cs"/>
          <w:sz w:val="34"/>
          <w:rtl/>
        </w:rPr>
        <w:t>روایت بزنطی و صفوان را مورد بررسی قرار داده‌ایم. چکیده آن مباحث در جلسه آینده بیان می‌شود.</w:t>
      </w:r>
    </w:p>
    <w:p w14:paraId="1B020199" w14:textId="679C61A7" w:rsidR="007A67BC" w:rsidRDefault="007A67BC" w:rsidP="007A67BC">
      <w:pPr>
        <w:rPr>
          <w:rFonts w:ascii="IRBadr" w:hAnsi="IRBadr" w:cs="IRBadr"/>
          <w:sz w:val="34"/>
          <w:rtl/>
        </w:rPr>
      </w:pPr>
      <w:r>
        <w:rPr>
          <w:rFonts w:ascii="IRBadr" w:hAnsi="IRBadr" w:cs="IRBadr" w:hint="cs"/>
          <w:sz w:val="34"/>
          <w:rtl/>
        </w:rPr>
        <w:t>نکته دیگر آنکه فقره «ما لا یعلمون» با دیگر فقرات تفاوت دارد؛ بنابراین زمینه بحث از اجزا به جهت فقره «ما لا یعلمون» وجود دارد</w:t>
      </w:r>
      <w:r w:rsidR="000D4E8C">
        <w:rPr>
          <w:rFonts w:ascii="IRBadr" w:hAnsi="IRBadr" w:cs="IRBadr" w:hint="cs"/>
          <w:sz w:val="34"/>
          <w:rtl/>
        </w:rPr>
        <w:t>. بنابراین سخن آخوند و کلام مرحوم امام که حدیث رفع را دال بر اجزا دانسته‌اند مطرح می‌شود. به نظر ما هرچند این روایت دال بر رفع الزام است، ولی تنها یک حکم ظاهری از آن استفاده می‌شود و دال بر رفع ظاهری است؛ بنابراین سخن آخوند و امام ناتمام است.</w:t>
      </w:r>
    </w:p>
    <w:p w14:paraId="755B3C73" w14:textId="1D3482B7" w:rsidR="00B22EF0" w:rsidRPr="002F6262" w:rsidRDefault="00B22EF0" w:rsidP="007A67BC">
      <w:pPr>
        <w:rPr>
          <w:rFonts w:ascii="IRBadr" w:hAnsi="IRBadr" w:cs="IRBadr"/>
          <w:sz w:val="34"/>
        </w:rPr>
      </w:pPr>
      <w:r>
        <w:rPr>
          <w:rFonts w:ascii="IRBadr" w:hAnsi="IRBadr" w:cs="IRBadr" w:hint="cs"/>
          <w:sz w:val="34"/>
          <w:rtl/>
        </w:rPr>
        <w:t>حاصل آنکه بین فقرات مختلف حدیث رفع تفاوت وجود دارد. عمل انجام شده با عمل انجام نشده در تعلق رفع تفاوت دارند. به نظر ما سیاق اقتضا دارد که تمامی فقرات مربوط به اعمال باشد ولی برخی فقرات مربوط به عمل انجام شده و برخی دیگر مربوط به عمل انجام نشده است و از این جهت وحدت سیاق ندارند. یعنی همه فقرات مربوط به اعمال است ولی اصناف اعمال در هر فقره مختلف است.</w:t>
      </w:r>
    </w:p>
    <w:sectPr w:rsidR="00B22EF0"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DEA2B" w14:textId="77777777" w:rsidR="00243DC0" w:rsidRDefault="00243DC0" w:rsidP="008B750B">
      <w:pPr>
        <w:spacing w:line="240" w:lineRule="auto"/>
      </w:pPr>
      <w:r>
        <w:separator/>
      </w:r>
    </w:p>
    <w:p w14:paraId="1C2D540E" w14:textId="77777777" w:rsidR="00243DC0" w:rsidRDefault="00243DC0"/>
  </w:endnote>
  <w:endnote w:type="continuationSeparator" w:id="0">
    <w:p w14:paraId="68D4E2E6" w14:textId="77777777" w:rsidR="00243DC0" w:rsidRDefault="00243DC0" w:rsidP="008B750B">
      <w:pPr>
        <w:spacing w:line="240" w:lineRule="auto"/>
      </w:pPr>
      <w:r>
        <w:continuationSeparator/>
      </w:r>
    </w:p>
    <w:p w14:paraId="4A1180BF" w14:textId="77777777" w:rsidR="00243DC0" w:rsidRDefault="00243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3366F" w:rsidRPr="00B3366F">
            <w:rPr>
              <w:noProof/>
              <w:rtl/>
              <w:lang w:val="fa-IR"/>
            </w:rPr>
            <w:t>6</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7" w:name="BokAdres"/>
          <w:bookmarkEnd w:id="2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B121E" w14:textId="77777777" w:rsidR="00243DC0" w:rsidRDefault="00243DC0" w:rsidP="008B750B">
      <w:pPr>
        <w:spacing w:line="240" w:lineRule="auto"/>
      </w:pPr>
      <w:r>
        <w:separator/>
      </w:r>
    </w:p>
    <w:p w14:paraId="65B2D9AB" w14:textId="77777777" w:rsidR="00243DC0" w:rsidRDefault="00243DC0"/>
  </w:footnote>
  <w:footnote w:type="continuationSeparator" w:id="0">
    <w:p w14:paraId="7D690F7F" w14:textId="77777777" w:rsidR="00243DC0" w:rsidRDefault="00243DC0" w:rsidP="008B750B">
      <w:pPr>
        <w:spacing w:line="240" w:lineRule="auto"/>
      </w:pPr>
      <w:r>
        <w:continuationSeparator/>
      </w:r>
    </w:p>
    <w:p w14:paraId="428468C2" w14:textId="77777777" w:rsidR="00243DC0" w:rsidRDefault="00243DC0"/>
  </w:footnote>
  <w:footnote w:id="1">
    <w:p w14:paraId="7E52A581" w14:textId="2CE914CB" w:rsidR="00666FCE" w:rsidRDefault="00666FCE">
      <w:pPr>
        <w:pStyle w:val="FootnoteText"/>
      </w:pPr>
      <w:r>
        <w:rPr>
          <w:rStyle w:val="FootnoteReference"/>
        </w:rPr>
        <w:footnoteRef/>
      </w:r>
      <w:r>
        <w:rPr>
          <w:rtl/>
        </w:rPr>
        <w:t xml:space="preserve"> </w:t>
      </w:r>
      <w:r w:rsidRPr="00666FCE">
        <w:rPr>
          <w:rtl/>
        </w:rPr>
        <w:t>سنن الدارمي، جلد: ۱، صفحه: ۱۵۴</w:t>
      </w:r>
    </w:p>
  </w:footnote>
  <w:footnote w:id="2">
    <w:p w14:paraId="248310AF" w14:textId="6C9D68FE" w:rsidR="00476EA6" w:rsidRDefault="00476EA6">
      <w:pPr>
        <w:pStyle w:val="FootnoteText"/>
      </w:pPr>
      <w:r>
        <w:rPr>
          <w:rStyle w:val="FootnoteReference"/>
        </w:rPr>
        <w:footnoteRef/>
      </w:r>
      <w:r>
        <w:rPr>
          <w:rtl/>
        </w:rPr>
        <w:t xml:space="preserve"> </w:t>
      </w:r>
      <w:r w:rsidRPr="00476EA6">
        <w:rPr>
          <w:rtl/>
        </w:rPr>
        <w:t>مسند البزار، جلد: ۱۱، صفحه: ۴۸</w:t>
      </w:r>
    </w:p>
  </w:footnote>
  <w:footnote w:id="3">
    <w:p w14:paraId="21901C55" w14:textId="5A59D555" w:rsidR="00142B13" w:rsidRDefault="00142B13" w:rsidP="00142B13">
      <w:pPr>
        <w:pStyle w:val="FootnoteText"/>
      </w:pPr>
      <w:r>
        <w:rPr>
          <w:rStyle w:val="FootnoteReference"/>
        </w:rPr>
        <w:footnoteRef/>
      </w:r>
      <w:r>
        <w:rPr>
          <w:rFonts w:hint="cs"/>
          <w:rtl/>
        </w:rPr>
        <w:t xml:space="preserve"> </w:t>
      </w:r>
      <w:r>
        <w:rPr>
          <w:rFonts w:hint="cs"/>
          <w:rtl/>
        </w:rPr>
        <w:t>پژوهش‌نامه اصول فقه اسلامی، سال سوم، شماره۳، سال۱۳۹۹، ص۹۰.</w:t>
      </w:r>
    </w:p>
  </w:footnote>
  <w:footnote w:id="4">
    <w:p w14:paraId="71199BD7" w14:textId="42ACDF20" w:rsidR="00476EA6" w:rsidRDefault="00476EA6">
      <w:pPr>
        <w:pStyle w:val="FootnoteText"/>
      </w:pPr>
      <w:r>
        <w:rPr>
          <w:rStyle w:val="FootnoteReference"/>
        </w:rPr>
        <w:footnoteRef/>
      </w:r>
      <w:r>
        <w:rPr>
          <w:rtl/>
        </w:rPr>
        <w:t xml:space="preserve"> </w:t>
      </w:r>
      <w:r>
        <w:rPr>
          <w:rFonts w:hint="cs"/>
          <w:rtl/>
        </w:rPr>
        <w:t>همان، ص۹۵.</w:t>
      </w:r>
    </w:p>
  </w:footnote>
  <w:footnote w:id="5">
    <w:p w14:paraId="59A6CB55" w14:textId="0F7F01C3" w:rsidR="008F0D7C" w:rsidRDefault="008F0D7C">
      <w:pPr>
        <w:pStyle w:val="FootnoteText"/>
      </w:pPr>
      <w:r>
        <w:rPr>
          <w:rStyle w:val="FootnoteReference"/>
        </w:rPr>
        <w:footnoteRef/>
      </w:r>
      <w:r>
        <w:rPr>
          <w:rtl/>
        </w:rPr>
        <w:t xml:space="preserve"> </w:t>
      </w:r>
      <w:r w:rsidRPr="008F0D7C">
        <w:rPr>
          <w:rtl/>
        </w:rPr>
        <w:t>شرح معاني الآثار، جلد: ۴، صفحه: ۱۳۰</w:t>
      </w:r>
    </w:p>
  </w:footnote>
  <w:footnote w:id="6">
    <w:p w14:paraId="21EDE743" w14:textId="6E84D61A" w:rsidR="000C65F4" w:rsidRDefault="000C65F4">
      <w:pPr>
        <w:pStyle w:val="FootnoteText"/>
      </w:pPr>
      <w:r>
        <w:rPr>
          <w:rStyle w:val="FootnoteReference"/>
        </w:rPr>
        <w:footnoteRef/>
      </w:r>
      <w:r>
        <w:rPr>
          <w:rtl/>
        </w:rPr>
        <w:t xml:space="preserve"> </w:t>
      </w:r>
      <w:r>
        <w:rPr>
          <w:rFonts w:hint="cs"/>
          <w:rtl/>
        </w:rPr>
        <w:t>همان.</w:t>
      </w:r>
    </w:p>
  </w:footnote>
  <w:footnote w:id="7">
    <w:p w14:paraId="21197525" w14:textId="171EA867" w:rsidR="00AD2DD9" w:rsidRDefault="00AD2DD9">
      <w:pPr>
        <w:pStyle w:val="FootnoteText"/>
      </w:pPr>
      <w:r>
        <w:rPr>
          <w:rStyle w:val="FootnoteReference"/>
        </w:rPr>
        <w:footnoteRef/>
      </w:r>
      <w:r>
        <w:rPr>
          <w:rtl/>
        </w:rPr>
        <w:t xml:space="preserve"> </w:t>
      </w:r>
      <w:r>
        <w:rPr>
          <w:rFonts w:hint="cs"/>
          <w:rtl/>
        </w:rPr>
        <w:t>همان، ص۱۳۱.</w:t>
      </w:r>
    </w:p>
  </w:footnote>
  <w:footnote w:id="8">
    <w:p w14:paraId="3643B287" w14:textId="47E9A380" w:rsidR="00E07F24" w:rsidRDefault="00E07F24" w:rsidP="00E07F24">
      <w:pPr>
        <w:pStyle w:val="FootnoteText"/>
      </w:pPr>
      <w:r>
        <w:rPr>
          <w:rStyle w:val="FootnoteReference"/>
        </w:rPr>
        <w:footnoteRef/>
      </w:r>
      <w:r>
        <w:rPr>
          <w:rtl/>
        </w:rPr>
        <w:t xml:space="preserve"> </w:t>
      </w:r>
      <w:r>
        <w:rPr>
          <w:rFonts w:hint="cs"/>
          <w:rtl/>
        </w:rPr>
        <w:t>پژوهش‌نامه اصول فقه اسلامی، سال سوم، شماره۳، سال۱۳۹۹، ص۸۹.</w:t>
      </w:r>
    </w:p>
  </w:footnote>
  <w:footnote w:id="9">
    <w:p w14:paraId="2CE775E4" w14:textId="1144149A" w:rsidR="00204276" w:rsidRDefault="00204276">
      <w:pPr>
        <w:pStyle w:val="FootnoteText"/>
      </w:pPr>
      <w:r>
        <w:rPr>
          <w:rStyle w:val="FootnoteReference"/>
        </w:rPr>
        <w:footnoteRef/>
      </w:r>
      <w:r>
        <w:rPr>
          <w:rtl/>
        </w:rPr>
        <w:t xml:space="preserve"> </w:t>
      </w:r>
      <w:r w:rsidRPr="00204276">
        <w:rPr>
          <w:rtl/>
        </w:rPr>
        <w:t>شرح معاني الآثار، جلد: ۳، صفحه: ۹۵</w:t>
      </w:r>
    </w:p>
  </w:footnote>
  <w:footnote w:id="10">
    <w:p w14:paraId="525B460D" w14:textId="070C00C0" w:rsidR="001640CD" w:rsidRDefault="001640CD">
      <w:pPr>
        <w:pStyle w:val="FootnoteText"/>
      </w:pPr>
      <w:r>
        <w:rPr>
          <w:rStyle w:val="FootnoteReference"/>
        </w:rPr>
        <w:footnoteRef/>
      </w:r>
      <w:r>
        <w:rPr>
          <w:rtl/>
        </w:rPr>
        <w:t xml:space="preserve"> </w:t>
      </w:r>
      <w:r>
        <w:rPr>
          <w:rFonts w:hint="cs"/>
          <w:rtl/>
        </w:rPr>
        <w:t>پژوهش‌نامه اصول فقه اسلامی، سال سوم، شماره۳، سال۱۳۹۹، ص۹۱.</w:t>
      </w:r>
    </w:p>
  </w:footnote>
  <w:footnote w:id="11">
    <w:p w14:paraId="381429AD" w14:textId="78A2439A" w:rsidR="00E53EE6" w:rsidRPr="00E53EE6" w:rsidRDefault="00E53EE6" w:rsidP="00E53EE6">
      <w:pPr>
        <w:pStyle w:val="FootnoteText"/>
      </w:pPr>
      <w:r w:rsidRPr="00E53EE6">
        <w:footnoteRef/>
      </w:r>
      <w:r w:rsidRPr="00E53EE6">
        <w:rPr>
          <w:rtl/>
        </w:rPr>
        <w:t xml:space="preserve"> </w:t>
      </w:r>
      <w:hyperlink r:id="rId1" w:history="1">
        <w:r w:rsidRPr="00E53EE6">
          <w:rPr>
            <w:rStyle w:val="Hyperlink"/>
            <w:rtl/>
          </w:rPr>
          <w:t>الکاف</w:t>
        </w:r>
        <w:r w:rsidRPr="00E53EE6">
          <w:rPr>
            <w:rStyle w:val="Hyperlink"/>
            <w:rFonts w:hint="cs"/>
            <w:rtl/>
          </w:rPr>
          <w:t>ی</w:t>
        </w:r>
        <w:r w:rsidRPr="00E53EE6">
          <w:rPr>
            <w:rStyle w:val="Hyperlink"/>
            <w:rFonts w:hint="eastAsia"/>
            <w:rtl/>
          </w:rPr>
          <w:t>،</w:t>
        </w:r>
        <w:r w:rsidRPr="00E53EE6">
          <w:rPr>
            <w:rStyle w:val="Hyperlink"/>
            <w:rtl/>
          </w:rPr>
          <w:t xml:space="preserve"> محمد بن </w:t>
        </w:r>
        <w:r w:rsidRPr="00E53EE6">
          <w:rPr>
            <w:rStyle w:val="Hyperlink"/>
            <w:rFonts w:hint="cs"/>
            <w:rtl/>
          </w:rPr>
          <w:t>ی</w:t>
        </w:r>
        <w:r w:rsidRPr="00E53EE6">
          <w:rPr>
            <w:rStyle w:val="Hyperlink"/>
            <w:rFonts w:hint="eastAsia"/>
            <w:rtl/>
          </w:rPr>
          <w:t>عقوب</w:t>
        </w:r>
        <w:r w:rsidRPr="00E53EE6">
          <w:rPr>
            <w:rStyle w:val="Hyperlink"/>
            <w:rtl/>
          </w:rPr>
          <w:t xml:space="preserve"> کل</w:t>
        </w:r>
        <w:r w:rsidRPr="00E53EE6">
          <w:rPr>
            <w:rStyle w:val="Hyperlink"/>
            <w:rFonts w:hint="cs"/>
            <w:rtl/>
          </w:rPr>
          <w:t>ی</w:t>
        </w:r>
        <w:r w:rsidRPr="00E53EE6">
          <w:rPr>
            <w:rStyle w:val="Hyperlink"/>
            <w:rFonts w:hint="eastAsia"/>
            <w:rtl/>
          </w:rPr>
          <w:t>ن</w:t>
        </w:r>
        <w:r w:rsidRPr="00E53EE6">
          <w:rPr>
            <w:rStyle w:val="Hyperlink"/>
            <w:rFonts w:hint="cs"/>
            <w:rtl/>
          </w:rPr>
          <w:t>ی</w:t>
        </w:r>
        <w:r w:rsidRPr="00E53EE6">
          <w:rPr>
            <w:rStyle w:val="Hyperlink"/>
            <w:rFonts w:hint="eastAsia"/>
            <w:rtl/>
          </w:rPr>
          <w:t>،</w:t>
        </w:r>
        <w:r w:rsidRPr="00E53EE6">
          <w:rPr>
            <w:rStyle w:val="Hyperlink"/>
            <w:rtl/>
          </w:rPr>
          <w:t xml:space="preserve"> ج2، ص463</w:t>
        </w:r>
        <w:r w:rsidRPr="00E53EE6">
          <w:rPr>
            <w:rStyle w:val="Hyperlink"/>
          </w:rPr>
          <w:t>.</w:t>
        </w:r>
      </w:hyperlink>
    </w:p>
  </w:footnote>
  <w:footnote w:id="12">
    <w:p w14:paraId="5B04EA44" w14:textId="2C2A22C9" w:rsidR="00E53EE6" w:rsidRDefault="00E53EE6">
      <w:pPr>
        <w:pStyle w:val="FootnoteText"/>
      </w:pPr>
      <w:r>
        <w:rPr>
          <w:rStyle w:val="FootnoteReference"/>
        </w:rPr>
        <w:footnoteRef/>
      </w:r>
      <w:r>
        <w:rPr>
          <w:rtl/>
        </w:rPr>
        <w:t xml:space="preserve"> </w:t>
      </w:r>
      <w:r>
        <w:rPr>
          <w:rFonts w:hint="cs"/>
          <w:rtl/>
        </w:rPr>
        <w:t>همان.</w:t>
      </w:r>
    </w:p>
  </w:footnote>
  <w:footnote w:id="13">
    <w:p w14:paraId="12C9982C" w14:textId="39E83186" w:rsidR="001C5D15" w:rsidRDefault="001C5D15">
      <w:pPr>
        <w:pStyle w:val="FootnoteText"/>
      </w:pPr>
      <w:r>
        <w:rPr>
          <w:rStyle w:val="FootnoteReference"/>
        </w:rPr>
        <w:footnoteRef/>
      </w:r>
      <w:r>
        <w:rPr>
          <w:rtl/>
        </w:rPr>
        <w:t xml:space="preserve"> </w:t>
      </w:r>
      <w:r w:rsidRPr="001C5D15">
        <w:rPr>
          <w:rtl/>
        </w:rPr>
        <w:t>النوادر(للأشعري)، ص: 74</w:t>
      </w:r>
    </w:p>
  </w:footnote>
  <w:footnote w:id="14">
    <w:p w14:paraId="48D8E71D" w14:textId="168082D7" w:rsidR="00067AFE" w:rsidRDefault="00067AFE">
      <w:pPr>
        <w:pStyle w:val="FootnoteText"/>
      </w:pPr>
      <w:r>
        <w:rPr>
          <w:rStyle w:val="FootnoteReference"/>
        </w:rPr>
        <w:footnoteRef/>
      </w:r>
      <w:r>
        <w:rPr>
          <w:rtl/>
        </w:rPr>
        <w:t xml:space="preserve"> </w:t>
      </w:r>
      <w:r w:rsidRPr="00067AFE">
        <w:rPr>
          <w:rtl/>
        </w:rPr>
        <w:t>كتاب العين، ج‏4، ص: 186</w:t>
      </w:r>
    </w:p>
  </w:footnote>
  <w:footnote w:id="15">
    <w:p w14:paraId="793ABABC" w14:textId="197DDA0E" w:rsidR="00067AFE" w:rsidRDefault="00067AFE">
      <w:pPr>
        <w:pStyle w:val="FootnoteText"/>
      </w:pPr>
      <w:r>
        <w:rPr>
          <w:rStyle w:val="FootnoteReference"/>
        </w:rPr>
        <w:footnoteRef/>
      </w:r>
      <w:r>
        <w:rPr>
          <w:rtl/>
        </w:rPr>
        <w:t xml:space="preserve"> </w:t>
      </w:r>
      <w:r w:rsidRPr="00067AFE">
        <w:rPr>
          <w:rtl/>
        </w:rPr>
        <w:t>تهذيب اللغة، ج‏7، ص: 66</w:t>
      </w:r>
    </w:p>
  </w:footnote>
  <w:footnote w:id="16">
    <w:p w14:paraId="58A548C5" w14:textId="643DD7C1" w:rsidR="004A29FB" w:rsidRDefault="004A29FB">
      <w:pPr>
        <w:pStyle w:val="FootnoteText"/>
      </w:pPr>
      <w:r>
        <w:rPr>
          <w:rStyle w:val="FootnoteReference"/>
        </w:rPr>
        <w:footnoteRef/>
      </w:r>
      <w:r>
        <w:rPr>
          <w:rtl/>
        </w:rPr>
        <w:t xml:space="preserve"> </w:t>
      </w:r>
      <w:r w:rsidRPr="004A29FB">
        <w:rPr>
          <w:rtl/>
        </w:rPr>
        <w:t>من لا يحضره الفقيه، ج‏2، ص: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769"/>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AFE"/>
    <w:rsid w:val="00067C1C"/>
    <w:rsid w:val="00067FD3"/>
    <w:rsid w:val="000703BE"/>
    <w:rsid w:val="00070422"/>
    <w:rsid w:val="00070606"/>
    <w:rsid w:val="000713B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86D"/>
    <w:rsid w:val="00092D35"/>
    <w:rsid w:val="00093564"/>
    <w:rsid w:val="000938EA"/>
    <w:rsid w:val="00094847"/>
    <w:rsid w:val="00094D3C"/>
    <w:rsid w:val="000952DF"/>
    <w:rsid w:val="000964F7"/>
    <w:rsid w:val="00096C63"/>
    <w:rsid w:val="00097B16"/>
    <w:rsid w:val="000A0ADA"/>
    <w:rsid w:val="000A1DC8"/>
    <w:rsid w:val="000A2A5D"/>
    <w:rsid w:val="000A5388"/>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25DB"/>
    <w:rsid w:val="000C329C"/>
    <w:rsid w:val="000C3760"/>
    <w:rsid w:val="000C3947"/>
    <w:rsid w:val="000C39B5"/>
    <w:rsid w:val="000C3AE8"/>
    <w:rsid w:val="000C451E"/>
    <w:rsid w:val="000C65F4"/>
    <w:rsid w:val="000C696E"/>
    <w:rsid w:val="000C6F74"/>
    <w:rsid w:val="000C7604"/>
    <w:rsid w:val="000D0E04"/>
    <w:rsid w:val="000D0FFD"/>
    <w:rsid w:val="000D23DD"/>
    <w:rsid w:val="000D2750"/>
    <w:rsid w:val="000D2A37"/>
    <w:rsid w:val="000D2CB0"/>
    <w:rsid w:val="000D30E9"/>
    <w:rsid w:val="000D31C4"/>
    <w:rsid w:val="000D3C5B"/>
    <w:rsid w:val="000D4BD3"/>
    <w:rsid w:val="000D4E8C"/>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108"/>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B13"/>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0CD"/>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97B50"/>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5D15"/>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01C"/>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276"/>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5AA"/>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3DC0"/>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7E9"/>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773"/>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6EA6"/>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A3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5E95"/>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0617"/>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46B8"/>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46C"/>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3AC"/>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C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5B6F"/>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B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1F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19F"/>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69A"/>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25D"/>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0D7C"/>
    <w:rsid w:val="008F1225"/>
    <w:rsid w:val="008F13F7"/>
    <w:rsid w:val="008F14AC"/>
    <w:rsid w:val="008F306C"/>
    <w:rsid w:val="008F306F"/>
    <w:rsid w:val="008F318C"/>
    <w:rsid w:val="008F397D"/>
    <w:rsid w:val="008F4246"/>
    <w:rsid w:val="008F50FD"/>
    <w:rsid w:val="008F5522"/>
    <w:rsid w:val="008F5B4D"/>
    <w:rsid w:val="008F6798"/>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264"/>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82F"/>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486D"/>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D7C41"/>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3C5"/>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02C"/>
    <w:rsid w:val="00A52DD1"/>
    <w:rsid w:val="00A542B2"/>
    <w:rsid w:val="00A550BF"/>
    <w:rsid w:val="00A55F86"/>
    <w:rsid w:val="00A562C7"/>
    <w:rsid w:val="00A562F9"/>
    <w:rsid w:val="00A564F5"/>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752"/>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2C5"/>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D9"/>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989"/>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2EF0"/>
    <w:rsid w:val="00B23445"/>
    <w:rsid w:val="00B23F01"/>
    <w:rsid w:val="00B26C63"/>
    <w:rsid w:val="00B27269"/>
    <w:rsid w:val="00B2746D"/>
    <w:rsid w:val="00B3366F"/>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17A4"/>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5B22"/>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AC4"/>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486"/>
    <w:rsid w:val="00C4472B"/>
    <w:rsid w:val="00C44B15"/>
    <w:rsid w:val="00C44C09"/>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A86"/>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5B42"/>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07F24"/>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1EB3"/>
    <w:rsid w:val="00E5219B"/>
    <w:rsid w:val="00E529A4"/>
    <w:rsid w:val="00E52D07"/>
    <w:rsid w:val="00E5306D"/>
    <w:rsid w:val="00E53EE6"/>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7E"/>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5BBB"/>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498"/>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448"/>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291"/>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1B94"/>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E53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3171626">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83716612">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10963753">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8092734">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8145725">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2/4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AF82-47AD-4426-8C7B-4D95FB6B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81767</TotalTime>
  <Pages>6</Pages>
  <Words>2344</Words>
  <Characters>13361</Characters>
  <Application>Microsoft Office Word</Application>
  <DocSecurity>0</DocSecurity>
  <Lines>111</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15674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1472</cp:revision>
  <cp:lastPrinted>2026-01-05T19:14:00Z</cp:lastPrinted>
  <dcterms:created xsi:type="dcterms:W3CDTF">2024-08-30T15:23:00Z</dcterms:created>
  <dcterms:modified xsi:type="dcterms:W3CDTF">2026-01-06T04:46:00Z</dcterms:modified>
  <cp:contentStatus>ویرایش 2.5</cp:contentStatus>
  <cp:version>2.7</cp:version>
</cp:coreProperties>
</file>