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104B9" w14:textId="77777777" w:rsidR="00817708" w:rsidRPr="0083204D" w:rsidRDefault="00817708" w:rsidP="00817708">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2DCF173B" w14:textId="1ED06A0F" w:rsidR="00817708" w:rsidRPr="0083204D" w:rsidRDefault="00817708" w:rsidP="00817708">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0</w:t>
      </w:r>
      <w:r>
        <w:rPr>
          <w:rFonts w:ascii="IRANSans" w:hAnsi="IRANSans" w:cs="IRANSans" w:hint="cs"/>
          <w:b/>
          <w:bCs/>
          <w:color w:val="C00000"/>
          <w:sz w:val="28"/>
          <w:shd w:val="clear" w:color="auto" w:fill="FFFFFF"/>
          <w:rtl/>
        </w:rPr>
        <w:t>9</w:t>
      </w:r>
      <w:r>
        <w:rPr>
          <w:rFonts w:ascii="IRANSans" w:hAnsi="IRANSans" w:cs="IRANSans" w:hint="cs"/>
          <w:b/>
          <w:bCs/>
          <w:color w:val="C00000"/>
          <w:sz w:val="28"/>
          <w:shd w:val="clear" w:color="auto" w:fill="FFFFFF"/>
          <w:rtl/>
        </w:rPr>
        <w:t>30</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67</w:t>
      </w:r>
    </w:p>
    <w:p w14:paraId="7CBB0D2B" w14:textId="77777777" w:rsidR="00817708" w:rsidRDefault="00817708" w:rsidP="00817708">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27C303AE"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46F89FF7" w14:textId="509FC2B2" w:rsidR="00EB7D96" w:rsidRPr="00817708" w:rsidRDefault="00EB7D96" w:rsidP="007F2825">
      <w:pPr>
        <w:ind w:firstLine="397"/>
        <w:rPr>
          <w:rFonts w:ascii="IRBadr" w:hAnsi="IRBadr" w:cs="IRBadr"/>
          <w:b/>
          <w:bCs/>
          <w:color w:val="00B050"/>
          <w:sz w:val="34"/>
          <w:rtl/>
        </w:rPr>
      </w:pPr>
      <w:bookmarkStart w:id="1" w:name="FehStart"/>
      <w:bookmarkEnd w:id="1"/>
      <w:r w:rsidRPr="00817708">
        <w:rPr>
          <w:rFonts w:ascii="IRBadr" w:hAnsi="IRBadr" w:cs="IRBadr"/>
          <w:b/>
          <w:bCs/>
          <w:color w:val="00B050"/>
          <w:sz w:val="34"/>
          <w:rtl/>
        </w:rPr>
        <w:t>أعوذ باللّه من الشیطان الرجیم</w:t>
      </w:r>
      <w:r w:rsidRPr="00817708">
        <w:rPr>
          <w:rFonts w:ascii="IRBadr" w:hAnsi="IRBadr" w:cs="IRBadr" w:hint="cs"/>
          <w:b/>
          <w:bCs/>
          <w:color w:val="00B050"/>
          <w:sz w:val="34"/>
          <w:rtl/>
        </w:rPr>
        <w:t>.</w:t>
      </w:r>
      <w:r w:rsidRPr="00817708">
        <w:rPr>
          <w:rFonts w:ascii="IRBadr" w:hAnsi="IRBadr" w:cs="IRBadr"/>
          <w:b/>
          <w:bCs/>
          <w:color w:val="00B050"/>
          <w:sz w:val="34"/>
          <w:rtl/>
        </w:rPr>
        <w:t xml:space="preserve"> بسم ‌اللّه الرحمن الرحیم</w:t>
      </w:r>
      <w:r w:rsidRPr="00817708">
        <w:rPr>
          <w:rFonts w:ascii="IRBadr" w:hAnsi="IRBadr" w:cs="IRBadr" w:hint="cs"/>
          <w:b/>
          <w:bCs/>
          <w:color w:val="00B050"/>
          <w:sz w:val="34"/>
          <w:rtl/>
        </w:rPr>
        <w:t>، و به نستعین؛ إنّه خیر ناصر و معین.</w:t>
      </w:r>
      <w:r w:rsidRPr="00817708">
        <w:rPr>
          <w:rFonts w:ascii="IRBadr" w:hAnsi="IRBadr" w:cs="IRBadr"/>
          <w:b/>
          <w:bCs/>
          <w:color w:val="00B050"/>
          <w:sz w:val="34"/>
          <w:rtl/>
        </w:rPr>
        <w:t xml:space="preserve"> الحمد للّه ربّ العالمین</w:t>
      </w:r>
      <w:r w:rsidRPr="00817708">
        <w:rPr>
          <w:rFonts w:ascii="IRBadr" w:hAnsi="IRBadr" w:cs="IRBadr" w:hint="cs"/>
          <w:b/>
          <w:bCs/>
          <w:color w:val="00B050"/>
          <w:sz w:val="34"/>
          <w:rtl/>
        </w:rPr>
        <w:t>،</w:t>
      </w:r>
      <w:r w:rsidRPr="00817708">
        <w:rPr>
          <w:rFonts w:ascii="IRBadr" w:hAnsi="IRBadr" w:cs="IRBadr"/>
          <w:b/>
          <w:bCs/>
          <w:color w:val="00B050"/>
          <w:sz w:val="34"/>
          <w:rtl/>
        </w:rPr>
        <w:t xml:space="preserve"> و صلّی اللّه علی سیّدنا </w:t>
      </w:r>
      <w:r w:rsidRPr="00817708">
        <w:rPr>
          <w:rFonts w:ascii="IRBadr" w:hAnsi="IRBadr" w:cs="IRBadr" w:hint="cs"/>
          <w:b/>
          <w:bCs/>
          <w:color w:val="00B050"/>
          <w:sz w:val="34"/>
          <w:rtl/>
        </w:rPr>
        <w:t xml:space="preserve">و نبیّنا </w:t>
      </w:r>
      <w:r w:rsidRPr="00817708">
        <w:rPr>
          <w:rFonts w:ascii="IRBadr" w:hAnsi="IRBadr" w:cs="IRBadr"/>
          <w:b/>
          <w:bCs/>
          <w:color w:val="00B050"/>
          <w:sz w:val="34"/>
          <w:rtl/>
        </w:rPr>
        <w:t>محمّد و آله الطاهرین</w:t>
      </w:r>
      <w:r w:rsidRPr="00817708">
        <w:rPr>
          <w:rFonts w:ascii="IRBadr" w:hAnsi="IRBadr" w:cs="IRBadr" w:hint="cs"/>
          <w:b/>
          <w:bCs/>
          <w:color w:val="00B050"/>
          <w:sz w:val="34"/>
          <w:rtl/>
        </w:rPr>
        <w:t>،</w:t>
      </w:r>
      <w:r w:rsidRPr="00817708">
        <w:rPr>
          <w:rFonts w:ascii="IRBadr" w:hAnsi="IRBadr" w:cs="IRBadr"/>
          <w:b/>
          <w:bCs/>
          <w:color w:val="00B050"/>
          <w:sz w:val="34"/>
          <w:rtl/>
        </w:rPr>
        <w:t xml:space="preserve"> و اللعن علی أعدائهم أ</w:t>
      </w:r>
      <w:bookmarkStart w:id="2" w:name="_GoBack"/>
      <w:bookmarkEnd w:id="2"/>
      <w:r w:rsidRPr="00817708">
        <w:rPr>
          <w:rFonts w:ascii="IRBadr" w:hAnsi="IRBadr" w:cs="IRBadr"/>
          <w:b/>
          <w:bCs/>
          <w:color w:val="00B050"/>
          <w:sz w:val="34"/>
          <w:rtl/>
        </w:rPr>
        <w:t>جمعین</w:t>
      </w:r>
      <w:r w:rsidRPr="00817708">
        <w:rPr>
          <w:rFonts w:ascii="IRBadr" w:hAnsi="IRBadr" w:cs="IRBadr" w:hint="cs"/>
          <w:b/>
          <w:bCs/>
          <w:color w:val="00B050"/>
          <w:sz w:val="34"/>
          <w:rtl/>
        </w:rPr>
        <w:t xml:space="preserve"> من الآن إلی قیام یوم الدین</w:t>
      </w:r>
      <w:r w:rsidRPr="00817708">
        <w:rPr>
          <w:rFonts w:ascii="IRBadr" w:hAnsi="IRBadr" w:cs="IRBadr"/>
          <w:b/>
          <w:bCs/>
          <w:color w:val="00B050"/>
          <w:sz w:val="34"/>
          <w:rtl/>
        </w:rPr>
        <w:t>.</w:t>
      </w:r>
    </w:p>
    <w:p w14:paraId="1BFD0EF7" w14:textId="4251A8CC" w:rsidR="00F7167A" w:rsidRDefault="006F17A1" w:rsidP="00F7167A">
      <w:pPr>
        <w:pStyle w:val="Heading1"/>
      </w:pPr>
      <w:bookmarkStart w:id="3" w:name="_Toc218997933"/>
      <w:r>
        <w:rPr>
          <w:rFonts w:hint="cs"/>
          <w:rtl/>
        </w:rPr>
        <w:t>روایت بزنطی</w:t>
      </w:r>
      <w:bookmarkEnd w:id="3"/>
    </w:p>
    <w:p w14:paraId="1D07F61D" w14:textId="55796930" w:rsidR="0035753C" w:rsidRDefault="00BA67AD" w:rsidP="002C75ED">
      <w:pPr>
        <w:ind w:firstLine="397"/>
        <w:rPr>
          <w:rFonts w:ascii="IRBadr" w:hAnsi="IRBadr" w:cs="IRBadr"/>
          <w:sz w:val="34"/>
          <w:rtl/>
        </w:rPr>
      </w:pPr>
      <w:r>
        <w:rPr>
          <w:rFonts w:ascii="IRBadr" w:hAnsi="IRBadr" w:cs="IRBadr" w:hint="cs"/>
          <w:sz w:val="34"/>
          <w:rtl/>
        </w:rPr>
        <w:t xml:space="preserve">در جلسه پیش در مورد روایت بزنطی نکاتی بیان شد. ادعا شده که بر اساس این روایت، مرفوع در حدیث رفع تنها حکم تکلیفی نیست بلکه مطلق آثار مثل احکام وضعی هم با حدیث رفع برداشته می‌شود. سوالی که در حدیث بزنطی مطرح است این مطلب است که حلف به طلاق و عتاق و صدقه ذاتا حرام و باطل است؛ بنابراین به چه وجهی بطلان آن به اکراه نسبت داده شود؟ امری که ذاتا حرام است نباید حرمتش به اکراه مستند شود. در پاسخ به این سوال دو پاسخ مطرح شد. </w:t>
      </w:r>
    </w:p>
    <w:p w14:paraId="2DC52830" w14:textId="40F84978" w:rsidR="0035753C" w:rsidRDefault="0035753C" w:rsidP="002C75ED">
      <w:pPr>
        <w:ind w:firstLine="397"/>
        <w:rPr>
          <w:rFonts w:ascii="IRBadr" w:hAnsi="IRBadr" w:cs="IRBadr"/>
          <w:sz w:val="34"/>
          <w:rtl/>
        </w:rPr>
      </w:pPr>
      <w:r>
        <w:rPr>
          <w:rFonts w:ascii="IRBadr" w:hAnsi="IRBadr" w:cs="IRBadr" w:hint="cs"/>
          <w:sz w:val="34"/>
          <w:rtl/>
        </w:rPr>
        <w:t>پاسخ اول: روایت شریفه در مورد حلف به نحو شرط فعل است، نه شرط نتیجه. و حلف به نحو شرط فعل، حرام تکلیفی نیست.</w:t>
      </w:r>
    </w:p>
    <w:p w14:paraId="048BD3E0" w14:textId="79E3B756" w:rsidR="00111FE2" w:rsidRDefault="0035753C" w:rsidP="002C75ED">
      <w:pPr>
        <w:ind w:firstLine="397"/>
        <w:rPr>
          <w:rFonts w:ascii="IRBadr" w:hAnsi="IRBadr" w:cs="IRBadr"/>
          <w:sz w:val="34"/>
          <w:rtl/>
        </w:rPr>
      </w:pPr>
      <w:r>
        <w:rPr>
          <w:rFonts w:ascii="IRBadr" w:hAnsi="IRBadr" w:cs="IRBadr" w:hint="cs"/>
          <w:sz w:val="34"/>
          <w:rtl/>
        </w:rPr>
        <w:t xml:space="preserve">پاسخ دوم: </w:t>
      </w:r>
      <w:r w:rsidR="00BA67AD">
        <w:rPr>
          <w:rFonts w:ascii="IRBadr" w:hAnsi="IRBadr" w:cs="IRBadr" w:hint="cs"/>
          <w:sz w:val="34"/>
          <w:rtl/>
        </w:rPr>
        <w:t xml:space="preserve">روایت شریفه ناظر به حکم تکلیفی </w:t>
      </w:r>
      <w:r>
        <w:rPr>
          <w:rFonts w:ascii="IRBadr" w:hAnsi="IRBadr" w:cs="IRBadr" w:hint="cs"/>
          <w:sz w:val="34"/>
          <w:rtl/>
        </w:rPr>
        <w:t>است، و سوالی که در روایت مطرح شده، سوال از حکم تکلیفی است. چرا که حلف به این امور از جهت تکلیفی هم حرام است، و سوال شده که این حرمت آیا در حال اکراه هم وجود دارد یا مرفوع می‌شود؟</w:t>
      </w:r>
    </w:p>
    <w:p w14:paraId="2FFD4E09" w14:textId="4484B9F4" w:rsidR="006F17A1" w:rsidRDefault="006F17A1" w:rsidP="006F17A1">
      <w:pPr>
        <w:pStyle w:val="Heading2"/>
        <w:rPr>
          <w:rtl/>
        </w:rPr>
      </w:pPr>
      <w:bookmarkStart w:id="4" w:name="_Toc218997934"/>
      <w:r>
        <w:rPr>
          <w:rFonts w:hint="cs"/>
          <w:rtl/>
        </w:rPr>
        <w:t>حلف به غیر الله</w:t>
      </w:r>
      <w:bookmarkEnd w:id="4"/>
    </w:p>
    <w:p w14:paraId="5C26CF13" w14:textId="69E10283" w:rsidR="00D925D8" w:rsidRDefault="00D925D8" w:rsidP="002C75ED">
      <w:pPr>
        <w:ind w:firstLine="397"/>
        <w:rPr>
          <w:rFonts w:ascii="IRBadr" w:hAnsi="IRBadr" w:cs="IRBadr"/>
          <w:sz w:val="34"/>
          <w:rtl/>
        </w:rPr>
      </w:pPr>
      <w:r>
        <w:rPr>
          <w:rFonts w:ascii="IRBadr" w:hAnsi="IRBadr" w:cs="IRBadr" w:hint="cs"/>
          <w:sz w:val="34"/>
          <w:rtl/>
        </w:rPr>
        <w:t>ابتدا روایات مساله را ذکر نموده و پس از آن به بیان کلمات فقها پرداخته و بحث را دنبال می‌نماییم.</w:t>
      </w:r>
    </w:p>
    <w:p w14:paraId="782A4BC2" w14:textId="7B82EABE" w:rsidR="00D925D8" w:rsidRDefault="00D925D8" w:rsidP="00D925D8">
      <w:pPr>
        <w:pStyle w:val="Heading3"/>
        <w:rPr>
          <w:rtl/>
        </w:rPr>
      </w:pPr>
      <w:bookmarkStart w:id="5" w:name="_Toc218997935"/>
      <w:r>
        <w:rPr>
          <w:rFonts w:hint="cs"/>
          <w:rtl/>
        </w:rPr>
        <w:t>روایات مساله</w:t>
      </w:r>
      <w:bookmarkEnd w:id="5"/>
    </w:p>
    <w:p w14:paraId="41D114DF" w14:textId="5858A7B6" w:rsidR="00C2754C" w:rsidRDefault="00C2754C" w:rsidP="002C75ED">
      <w:pPr>
        <w:ind w:firstLine="397"/>
        <w:rPr>
          <w:rFonts w:ascii="IRBadr" w:hAnsi="IRBadr" w:cs="IRBadr"/>
          <w:sz w:val="34"/>
          <w:rtl/>
        </w:rPr>
      </w:pPr>
      <w:r>
        <w:rPr>
          <w:rFonts w:ascii="IRBadr" w:hAnsi="IRBadr" w:cs="IRBadr" w:hint="cs"/>
          <w:sz w:val="34"/>
          <w:rtl/>
        </w:rPr>
        <w:t>بیان شد که از روایات متعددی استفاده می‌شود که حلف به غیر الله از جهت تکلیفی حرام است</w:t>
      </w:r>
      <w:r w:rsidR="00FA2F1D">
        <w:rPr>
          <w:rFonts w:ascii="IRBadr" w:hAnsi="IRBadr" w:cs="IRBadr" w:hint="cs"/>
          <w:sz w:val="34"/>
          <w:rtl/>
        </w:rPr>
        <w:t>؛ مثل روایات زیر:</w:t>
      </w:r>
    </w:p>
    <w:p w14:paraId="4BC922EB" w14:textId="046FE4A2" w:rsidR="00FA2F1D" w:rsidRDefault="00FA2F1D" w:rsidP="002C75ED">
      <w:pPr>
        <w:ind w:firstLine="397"/>
        <w:rPr>
          <w:rFonts w:ascii="IRBadr" w:hAnsi="IRBadr" w:cs="IRBadr"/>
          <w:sz w:val="34"/>
        </w:rPr>
      </w:pPr>
      <w:r>
        <w:rPr>
          <w:rFonts w:ascii="IRBadr" w:hAnsi="IRBadr" w:cs="IRBadr" w:hint="cs"/>
          <w:sz w:val="34"/>
          <w:rtl/>
        </w:rPr>
        <w:t>«</w:t>
      </w:r>
      <w:r w:rsidRPr="00FA2F1D">
        <w:rPr>
          <w:rFonts w:ascii="IRBadr" w:hAnsi="IRBadr" w:cs="IRBadr"/>
          <w:sz w:val="34"/>
          <w:rtl/>
        </w:rPr>
        <w:t xml:space="preserve">عَلِيُّ بْنُ إِبْرَاهِيمَ عَنْ أَبِيهِ عَنِ ابْنِ أَبِي عُمَيْرٍ عَنْ حَمَّادٍ عَنْ مُحَمَّدِ بْنِ مُسْلِمٍ قَالَ: </w:t>
      </w:r>
      <w:r w:rsidRPr="00FA2F1D">
        <w:rPr>
          <w:rFonts w:ascii="IRBadr" w:hAnsi="IRBadr" w:cs="IRBadr"/>
          <w:color w:val="008000"/>
          <w:sz w:val="34"/>
          <w:rtl/>
        </w:rPr>
        <w:t>قُلْتُ لِأَبِي جَعْفَرٍ ع قَوْلُ اللَّهِ عَزَّ وَ جَلَّ- وَ اللَّيْلِ إِذا يَغْشى‏ وَ النَّجْمِ إِذا هَوى‏ وَ مَا أَشْبَهَ ذَلِكَ فَقَالَ إِنَّ لِلَّهِ عَزَّ وَ جَلَّ أَنْ يُقْسِمَ مِنْ خَلْقِهِ بِمَا شَاءَ- وَ لَيْسَ لِخَلْقِهِ أَنْ يُقْسِمُوا إِلَّا بِهِ</w:t>
      </w:r>
      <w:r>
        <w:rPr>
          <w:rFonts w:ascii="IRBadr" w:hAnsi="IRBadr" w:cs="IRBadr" w:hint="cs"/>
          <w:sz w:val="34"/>
          <w:rtl/>
        </w:rPr>
        <w:t>»</w:t>
      </w:r>
      <w:r>
        <w:rPr>
          <w:rStyle w:val="FootnoteReference"/>
          <w:rFonts w:ascii="IRBadr" w:hAnsi="IRBadr" w:cs="IRBadr"/>
          <w:sz w:val="34"/>
          <w:rtl/>
        </w:rPr>
        <w:footnoteReference w:id="1"/>
      </w:r>
      <w:r w:rsidRPr="00FA2F1D">
        <w:rPr>
          <w:rFonts w:ascii="IRBadr" w:hAnsi="IRBadr" w:cs="IRBadr"/>
          <w:sz w:val="34"/>
          <w:rtl/>
        </w:rPr>
        <w:t>.</w:t>
      </w:r>
    </w:p>
    <w:p w14:paraId="53A2D1C6" w14:textId="0F3AB360" w:rsidR="00FA2F1D" w:rsidRDefault="00FA2F1D" w:rsidP="002C75ED">
      <w:pPr>
        <w:ind w:firstLine="397"/>
        <w:rPr>
          <w:rFonts w:ascii="IRBadr" w:hAnsi="IRBadr" w:cs="IRBadr"/>
          <w:sz w:val="34"/>
          <w:rtl/>
        </w:rPr>
      </w:pPr>
      <w:r>
        <w:rPr>
          <w:rFonts w:ascii="IRBadr" w:hAnsi="IRBadr" w:cs="IRBadr" w:hint="cs"/>
          <w:sz w:val="34"/>
          <w:rtl/>
        </w:rPr>
        <w:lastRenderedPageBreak/>
        <w:t>«</w:t>
      </w:r>
      <w:r w:rsidRPr="00FA2F1D">
        <w:rPr>
          <w:rFonts w:ascii="IRBadr" w:hAnsi="IRBadr" w:cs="IRBadr"/>
          <w:sz w:val="34"/>
          <w:rtl/>
        </w:rPr>
        <w:t xml:space="preserve">رُوِيَ عَنْ عَلِيِّ بْنِ مَهْزِيَارَ قَالَ </w:t>
      </w:r>
      <w:r w:rsidRPr="00FA2F1D">
        <w:rPr>
          <w:rFonts w:ascii="IRBadr" w:hAnsi="IRBadr" w:cs="IRBadr"/>
          <w:color w:val="008000"/>
          <w:sz w:val="34"/>
          <w:rtl/>
        </w:rPr>
        <w:t>قُلْتُ لِأَبِي جَعْفَرٍ الثَّانِي ع- قَوْلُهُ عَزَّ وَ جَلَّ وَ اللَّيْلِ إِذا يَغْشى‏ وَ النَّهارِ إِذا تَجَلَّى وَ قَوْلُهُ عَزَّ وَ جَلَّ وَ النَّجْمِ إِذا هَوى‏ وَ مَا أَشْبَهَ هَذَا فَقَالَ إِنَّ اللَّهَ عَزَّ وَ جَلَّ يُقْسِمُ مِنْ خَلْقِهِ بِمَا يَشَاءُ وَ لَيْسَ لِخَلْقِهِ أَنْ يُقْسِمُوا إِلَّا بِهِ عَزَّ وَ جَلَّ</w:t>
      </w:r>
      <w:r>
        <w:rPr>
          <w:rFonts w:ascii="IRBadr" w:hAnsi="IRBadr" w:cs="IRBadr" w:hint="cs"/>
          <w:sz w:val="34"/>
          <w:rtl/>
        </w:rPr>
        <w:t>»</w:t>
      </w:r>
      <w:r>
        <w:rPr>
          <w:rStyle w:val="FootnoteReference"/>
          <w:rFonts w:ascii="IRBadr" w:hAnsi="IRBadr" w:cs="IRBadr"/>
          <w:sz w:val="34"/>
          <w:rtl/>
        </w:rPr>
        <w:footnoteReference w:id="2"/>
      </w:r>
      <w:r w:rsidRPr="00FA2F1D">
        <w:rPr>
          <w:rFonts w:ascii="IRBadr" w:hAnsi="IRBadr" w:cs="IRBadr"/>
          <w:sz w:val="34"/>
          <w:rtl/>
        </w:rPr>
        <w:t>.</w:t>
      </w:r>
    </w:p>
    <w:p w14:paraId="5A00176E" w14:textId="51C569C2" w:rsidR="00FA2F1D" w:rsidRDefault="00FA2F1D" w:rsidP="002C75ED">
      <w:pPr>
        <w:ind w:firstLine="397"/>
        <w:rPr>
          <w:rFonts w:ascii="IRBadr" w:hAnsi="IRBadr" w:cs="IRBadr"/>
          <w:sz w:val="34"/>
          <w:rtl/>
        </w:rPr>
      </w:pPr>
      <w:r>
        <w:rPr>
          <w:rFonts w:ascii="IRBadr" w:hAnsi="IRBadr" w:cs="IRBadr" w:hint="cs"/>
          <w:sz w:val="34"/>
          <w:rtl/>
        </w:rPr>
        <w:t xml:space="preserve">روایت اول صحیحه است، هرچند برخی به جهت ابراهیم بن هاشم آن را حسنه می‌شمرند. روایت دوم نیز صحیحه است. صدوق سه طریق به علی بن مهزیار دارد که که یکی از آنها </w:t>
      </w:r>
      <w:r w:rsidR="006F17A1">
        <w:rPr>
          <w:rFonts w:ascii="IRBadr" w:hAnsi="IRBadr" w:cs="IRBadr" w:hint="cs"/>
          <w:sz w:val="34"/>
          <w:rtl/>
        </w:rPr>
        <w:t xml:space="preserve">(طریق سوم) </w:t>
      </w:r>
      <w:r>
        <w:rPr>
          <w:rFonts w:ascii="IRBadr" w:hAnsi="IRBadr" w:cs="IRBadr" w:hint="cs"/>
          <w:sz w:val="34"/>
          <w:rtl/>
        </w:rPr>
        <w:t xml:space="preserve">بدون تردید </w:t>
      </w:r>
      <w:r w:rsidR="006F17A1">
        <w:rPr>
          <w:rFonts w:ascii="IRBadr" w:hAnsi="IRBadr" w:cs="IRBadr" w:hint="cs"/>
          <w:sz w:val="34"/>
          <w:rtl/>
        </w:rPr>
        <w:t>بی‌اشکال</w:t>
      </w:r>
      <w:r>
        <w:rPr>
          <w:rFonts w:ascii="IRBadr" w:hAnsi="IRBadr" w:cs="IRBadr" w:hint="cs"/>
          <w:sz w:val="34"/>
          <w:rtl/>
        </w:rPr>
        <w:t xml:space="preserve"> است</w:t>
      </w:r>
      <w:r w:rsidR="006F17A1">
        <w:rPr>
          <w:rFonts w:ascii="IRBadr" w:hAnsi="IRBadr" w:cs="IRBadr" w:hint="cs"/>
          <w:sz w:val="34"/>
          <w:rtl/>
        </w:rPr>
        <w:t>، هرچند ما برخی دیگر از این طرق را نیز صحیح می‌دانیم.</w:t>
      </w:r>
    </w:p>
    <w:p w14:paraId="1E68F78E" w14:textId="77777777" w:rsidR="00D925D8" w:rsidRDefault="00D925D8" w:rsidP="00D925D8">
      <w:pPr>
        <w:pStyle w:val="Heading3"/>
        <w:rPr>
          <w:rtl/>
        </w:rPr>
      </w:pPr>
      <w:bookmarkStart w:id="6" w:name="_Toc218997936"/>
      <w:r>
        <w:rPr>
          <w:rFonts w:hint="cs"/>
          <w:rtl/>
        </w:rPr>
        <w:t>کلمات فقها</w:t>
      </w:r>
      <w:bookmarkEnd w:id="6"/>
    </w:p>
    <w:p w14:paraId="1D77148A" w14:textId="380E79F2" w:rsidR="006F17A1" w:rsidRDefault="006F17A1" w:rsidP="002C75ED">
      <w:pPr>
        <w:ind w:firstLine="397"/>
        <w:rPr>
          <w:rFonts w:ascii="IRBadr" w:hAnsi="IRBadr" w:cs="IRBadr"/>
          <w:sz w:val="34"/>
          <w:rtl/>
        </w:rPr>
      </w:pPr>
      <w:r>
        <w:rPr>
          <w:rFonts w:ascii="IRBadr" w:hAnsi="IRBadr" w:cs="IRBadr" w:hint="cs"/>
          <w:sz w:val="34"/>
          <w:rtl/>
        </w:rPr>
        <w:t>بحث حرمت حلف به غیر الله از قدیم مطرح بوده است. شیخ طوسی دو فتوا (در نهایه و مبسوط) در این مورد بیان کرده است. عبارت نهایه بدین شرح است:</w:t>
      </w:r>
    </w:p>
    <w:p w14:paraId="00905D6B" w14:textId="49DE386F" w:rsidR="006F17A1" w:rsidRDefault="006F17A1" w:rsidP="002C75ED">
      <w:pPr>
        <w:ind w:firstLine="397"/>
        <w:rPr>
          <w:rFonts w:ascii="IRBadr" w:hAnsi="IRBadr" w:cs="IRBadr"/>
          <w:sz w:val="34"/>
        </w:rPr>
      </w:pPr>
      <w:r w:rsidRPr="006F17A1">
        <w:rPr>
          <w:rFonts w:ascii="IRBadr" w:hAnsi="IRBadr" w:cs="IRBadr" w:hint="cs"/>
          <w:color w:val="000080"/>
          <w:sz w:val="34"/>
          <w:rtl/>
        </w:rPr>
        <w:t>«</w:t>
      </w:r>
      <w:r w:rsidRPr="006F17A1">
        <w:rPr>
          <w:rFonts w:ascii="IRBadr" w:hAnsi="IRBadr" w:cs="IRBadr"/>
          <w:color w:val="000080"/>
          <w:sz w:val="34"/>
          <w:rtl/>
        </w:rPr>
        <w:t>و لا يجوز أن يحلّف بغير أسماء اللّه تعالى بشي‌ء من جميع الموجودات: لا بالكتب المنزلة و لا المواضع المشرّفة و لا الرّسل‌</w:t>
      </w:r>
      <w:r w:rsidRPr="006F17A1">
        <w:rPr>
          <w:rFonts w:ascii="IRBadr" w:hAnsi="IRBadr" w:cs="IRBadr"/>
          <w:color w:val="000080"/>
          <w:sz w:val="34"/>
        </w:rPr>
        <w:t xml:space="preserve"> </w:t>
      </w:r>
      <w:r w:rsidRPr="006F17A1">
        <w:rPr>
          <w:rFonts w:ascii="IRBadr" w:hAnsi="IRBadr" w:cs="IRBadr"/>
          <w:color w:val="000080"/>
          <w:sz w:val="34"/>
          <w:rtl/>
        </w:rPr>
        <w:t>المعظّمة و لا الأئمّة المنتجبة. فإنّ اليمين بجميع ذلك بدعة في شريعة الإسلام</w:t>
      </w:r>
      <w:r w:rsidRPr="006F17A1">
        <w:rPr>
          <w:rFonts w:ascii="IRBadr" w:hAnsi="IRBadr" w:cs="IRBadr" w:hint="cs"/>
          <w:color w:val="000080"/>
          <w:sz w:val="34"/>
          <w:rtl/>
        </w:rPr>
        <w:t>»</w:t>
      </w:r>
      <w:r>
        <w:rPr>
          <w:rStyle w:val="FootnoteReference"/>
          <w:rFonts w:ascii="IRBadr" w:hAnsi="IRBadr" w:cs="IRBadr"/>
          <w:color w:val="000080"/>
          <w:sz w:val="34"/>
          <w:rtl/>
        </w:rPr>
        <w:footnoteReference w:id="3"/>
      </w:r>
      <w:r w:rsidRPr="006F17A1">
        <w:rPr>
          <w:rFonts w:ascii="IRBadr" w:hAnsi="IRBadr" w:cs="IRBadr"/>
          <w:sz w:val="34"/>
          <w:rtl/>
        </w:rPr>
        <w:t>.</w:t>
      </w:r>
    </w:p>
    <w:p w14:paraId="3E3DA0B8" w14:textId="77777777" w:rsidR="006F17A1" w:rsidRDefault="006F17A1" w:rsidP="002C75ED">
      <w:pPr>
        <w:ind w:firstLine="397"/>
        <w:rPr>
          <w:rFonts w:ascii="IRBadr" w:hAnsi="IRBadr" w:cs="IRBadr"/>
          <w:sz w:val="34"/>
          <w:rtl/>
        </w:rPr>
      </w:pPr>
      <w:r>
        <w:rPr>
          <w:rFonts w:ascii="IRBadr" w:hAnsi="IRBadr" w:cs="IRBadr" w:hint="cs"/>
          <w:sz w:val="34"/>
          <w:rtl/>
        </w:rPr>
        <w:t>در صدر این تعبیر از واژه «تحلیف» استفاده شده که مربوط به دعاوی است ولی تعلیلی که در ذیل عبارت ذکر نموده عام است. عبارت مبسوط کراهت است:</w:t>
      </w:r>
    </w:p>
    <w:p w14:paraId="0A9EF508" w14:textId="1A416B3A" w:rsidR="006F17A1" w:rsidRDefault="006F17A1" w:rsidP="002C75ED">
      <w:pPr>
        <w:ind w:firstLine="397"/>
        <w:rPr>
          <w:rFonts w:ascii="IRBadr" w:hAnsi="IRBadr" w:cs="IRBadr"/>
          <w:sz w:val="34"/>
          <w:rtl/>
        </w:rPr>
      </w:pPr>
      <w:r w:rsidRPr="006F17A1">
        <w:rPr>
          <w:rFonts w:ascii="IRBadr" w:hAnsi="IRBadr" w:cs="IRBadr" w:hint="cs"/>
          <w:color w:val="000080"/>
          <w:sz w:val="34"/>
          <w:rtl/>
        </w:rPr>
        <w:t>«</w:t>
      </w:r>
      <w:r w:rsidRPr="006F17A1">
        <w:rPr>
          <w:rFonts w:ascii="IRBadr" w:hAnsi="IRBadr" w:cs="IRBadr"/>
          <w:color w:val="000080"/>
          <w:sz w:val="34"/>
          <w:rtl/>
        </w:rPr>
        <w:t>تكره اليمين بغير الله كاليمين و بالمخلوقات: النبي و الكعبة و نحوها و كذلك بالآباء كقوله و حق أبى و حق آبائي و نحو ذلك كل ذلك مكروه</w:t>
      </w:r>
      <w:r w:rsidRPr="006F17A1">
        <w:rPr>
          <w:rFonts w:ascii="IRBadr" w:hAnsi="IRBadr" w:cs="IRBadr" w:hint="cs"/>
          <w:color w:val="000080"/>
          <w:sz w:val="34"/>
          <w:rtl/>
        </w:rPr>
        <w:t>»</w:t>
      </w:r>
      <w:r>
        <w:rPr>
          <w:rStyle w:val="FootnoteReference"/>
          <w:rFonts w:ascii="IRBadr" w:hAnsi="IRBadr" w:cs="IRBadr"/>
          <w:color w:val="000080"/>
          <w:sz w:val="34"/>
          <w:rtl/>
        </w:rPr>
        <w:footnoteReference w:id="4"/>
      </w:r>
      <w:r w:rsidRPr="006F17A1">
        <w:rPr>
          <w:rFonts w:ascii="IRBadr" w:hAnsi="IRBadr" w:cs="IRBadr"/>
          <w:sz w:val="34"/>
          <w:rtl/>
        </w:rPr>
        <w:t>.</w:t>
      </w:r>
    </w:p>
    <w:p w14:paraId="5253F4D0" w14:textId="070C0EF4" w:rsidR="006F17A1" w:rsidRDefault="006F17A1" w:rsidP="002C75ED">
      <w:pPr>
        <w:ind w:firstLine="397"/>
        <w:rPr>
          <w:rFonts w:ascii="IRBadr" w:hAnsi="IRBadr" w:cs="IRBadr"/>
          <w:sz w:val="34"/>
          <w:rtl/>
        </w:rPr>
      </w:pPr>
      <w:r>
        <w:rPr>
          <w:rFonts w:ascii="IRBadr" w:hAnsi="IRBadr" w:cs="IRBadr" w:hint="cs"/>
          <w:sz w:val="34"/>
          <w:rtl/>
        </w:rPr>
        <w:t xml:space="preserve">حضرت آیت الله والد در برخی مواضع کتاب مبسوط واژه کراهت را بر حرمت حمل کرده‌اند. البته در این مساله شاید چنین نباشد. توضیح آنکه شافعیه حلف به غیر الله را مکروه شمرده‌اند </w:t>
      </w:r>
      <w:r w:rsidR="002732B5">
        <w:rPr>
          <w:rFonts w:ascii="IRBadr" w:hAnsi="IRBadr" w:cs="IRBadr" w:hint="cs"/>
          <w:sz w:val="34"/>
          <w:rtl/>
        </w:rPr>
        <w:t>-</w:t>
      </w:r>
      <w:r>
        <w:rPr>
          <w:rFonts w:ascii="IRBadr" w:hAnsi="IRBadr" w:cs="IRBadr" w:hint="cs"/>
          <w:sz w:val="34"/>
          <w:rtl/>
        </w:rPr>
        <w:t>نه حرام</w:t>
      </w:r>
      <w:r w:rsidR="002732B5">
        <w:rPr>
          <w:rFonts w:ascii="IRBadr" w:hAnsi="IRBadr" w:cs="IRBadr" w:hint="cs"/>
          <w:sz w:val="34"/>
          <w:rtl/>
        </w:rPr>
        <w:t>-</w:t>
      </w:r>
      <w:r>
        <w:rPr>
          <w:rFonts w:ascii="IRBadr" w:hAnsi="IRBadr" w:cs="IRBadr" w:hint="cs"/>
          <w:sz w:val="34"/>
          <w:rtl/>
        </w:rPr>
        <w:t xml:space="preserve"> و عبارات شیخ طوسی نوعا برگرفته از عبارات شافعیه و بر اساس اصطلاحات شافعیه است </w:t>
      </w:r>
      <w:r w:rsidR="002732B5">
        <w:rPr>
          <w:rFonts w:ascii="IRBadr" w:hAnsi="IRBadr" w:cs="IRBadr" w:hint="cs"/>
          <w:sz w:val="34"/>
          <w:rtl/>
        </w:rPr>
        <w:t xml:space="preserve">(در کتاب «الفقه علی المذاهب الأربعة» فتاوای مذاهت عامه در این مساله وارد شده است)؛ بنابراین </w:t>
      </w:r>
      <w:r>
        <w:rPr>
          <w:rFonts w:ascii="IRBadr" w:hAnsi="IRBadr" w:cs="IRBadr" w:hint="cs"/>
          <w:sz w:val="34"/>
          <w:rtl/>
        </w:rPr>
        <w:t xml:space="preserve">ظاهرا در محل بحث مراد </w:t>
      </w:r>
      <w:r w:rsidR="002732B5">
        <w:rPr>
          <w:rFonts w:ascii="IRBadr" w:hAnsi="IRBadr" w:cs="IRBadr" w:hint="cs"/>
          <w:sz w:val="34"/>
          <w:rtl/>
        </w:rPr>
        <w:t xml:space="preserve">شیخ </w:t>
      </w:r>
      <w:r>
        <w:rPr>
          <w:rFonts w:ascii="IRBadr" w:hAnsi="IRBadr" w:cs="IRBadr" w:hint="cs"/>
          <w:sz w:val="34"/>
          <w:rtl/>
        </w:rPr>
        <w:t xml:space="preserve">از کراهت همان کراهت مصطلح است؛ بنابراین فتوای </w:t>
      </w:r>
      <w:r w:rsidR="002732B5">
        <w:rPr>
          <w:rFonts w:ascii="IRBadr" w:hAnsi="IRBadr" w:cs="IRBadr" w:hint="cs"/>
          <w:sz w:val="34"/>
          <w:rtl/>
        </w:rPr>
        <w:t>شیخ</w:t>
      </w:r>
      <w:r>
        <w:rPr>
          <w:rFonts w:ascii="IRBadr" w:hAnsi="IRBadr" w:cs="IRBadr" w:hint="cs"/>
          <w:sz w:val="34"/>
          <w:rtl/>
        </w:rPr>
        <w:t xml:space="preserve"> در مبسوط ب</w:t>
      </w:r>
      <w:r w:rsidR="002732B5">
        <w:rPr>
          <w:rFonts w:ascii="IRBadr" w:hAnsi="IRBadr" w:cs="IRBadr" w:hint="cs"/>
          <w:sz w:val="34"/>
          <w:rtl/>
        </w:rPr>
        <w:t>ا</w:t>
      </w:r>
      <w:r>
        <w:rPr>
          <w:rFonts w:ascii="IRBadr" w:hAnsi="IRBadr" w:cs="IRBadr" w:hint="cs"/>
          <w:sz w:val="34"/>
          <w:rtl/>
        </w:rPr>
        <w:t xml:space="preserve"> فتوای</w:t>
      </w:r>
      <w:r w:rsidR="002732B5">
        <w:rPr>
          <w:rFonts w:ascii="IRBadr" w:hAnsi="IRBadr" w:cs="IRBadr" w:hint="cs"/>
          <w:sz w:val="34"/>
          <w:rtl/>
        </w:rPr>
        <w:t xml:space="preserve"> ای</w:t>
      </w:r>
      <w:r>
        <w:rPr>
          <w:rFonts w:ascii="IRBadr" w:hAnsi="IRBadr" w:cs="IRBadr" w:hint="cs"/>
          <w:sz w:val="34"/>
          <w:rtl/>
        </w:rPr>
        <w:t>شان در نهایه تفاوت دارد.</w:t>
      </w:r>
      <w:r w:rsidR="00E63443">
        <w:rPr>
          <w:rFonts w:ascii="IRBadr" w:hAnsi="IRBadr" w:cs="IRBadr" w:hint="cs"/>
          <w:sz w:val="34"/>
          <w:rtl/>
        </w:rPr>
        <w:t xml:space="preserve"> پیش از شیخ هم ابن ادریس و دیگر فقها به تفصیل از این مساله بحث کرده‌اند. </w:t>
      </w:r>
    </w:p>
    <w:p w14:paraId="74A65338" w14:textId="47D30D55" w:rsidR="00E63443" w:rsidRDefault="00E63443" w:rsidP="002C75ED">
      <w:pPr>
        <w:ind w:firstLine="397"/>
        <w:rPr>
          <w:rFonts w:ascii="IRBadr" w:hAnsi="IRBadr" w:cs="IRBadr"/>
          <w:sz w:val="34"/>
          <w:rtl/>
        </w:rPr>
      </w:pPr>
      <w:r>
        <w:rPr>
          <w:rFonts w:ascii="IRBadr" w:hAnsi="IRBadr" w:cs="IRBadr" w:hint="cs"/>
          <w:sz w:val="34"/>
          <w:rtl/>
        </w:rPr>
        <w:t>اگر کسی قائل به حرمت حلف به طلاق باشد، دو پاسخی که در مورد روایت بزنطی مطرح شد قابل ذکر است، ولی اگر کسی قائل به کراهت شد، حمل روایت بزنطی بر حکم تکلیفی پاسخگو نیست. از این رو این مساله را دنبال می‌نماییم. آقای سبحانی برخی عبارات فقها را در کتاب نظام القضا ذکر کرده‌اند</w:t>
      </w:r>
      <w:r>
        <w:rPr>
          <w:rStyle w:val="FootnoteReference"/>
          <w:rFonts w:ascii="IRBadr" w:hAnsi="IRBadr" w:cs="IRBadr"/>
          <w:sz w:val="34"/>
          <w:rtl/>
        </w:rPr>
        <w:footnoteReference w:id="5"/>
      </w:r>
      <w:r>
        <w:rPr>
          <w:rFonts w:ascii="IRBadr" w:hAnsi="IRBadr" w:cs="IRBadr" w:hint="cs"/>
          <w:sz w:val="34"/>
          <w:rtl/>
        </w:rPr>
        <w:t>. البته نقلیات ایشان ناقص است. عجیب است که ایشان -هرچند عبارت مبسوط شیخ را ذکر نموده- عبارت نهایه را ذکر نکرده‌اند. ممکن است از آن رو که ایشان -در مقابل ادعای اجماع بر حرمت- در صدد آن است که جواز را نتیجه بگیرد، بدین جهت آن عبارت شیخ را ذکر نکرده است.</w:t>
      </w:r>
      <w:r w:rsidR="00A62EEC">
        <w:rPr>
          <w:rFonts w:ascii="IRBadr" w:hAnsi="IRBadr" w:cs="IRBadr" w:hint="cs"/>
          <w:sz w:val="34"/>
          <w:rtl/>
        </w:rPr>
        <w:t xml:space="preserve"> علامه در تحریر آورده است:</w:t>
      </w:r>
    </w:p>
    <w:p w14:paraId="527734C3" w14:textId="17CDE5B7" w:rsidR="00A62EEC" w:rsidRDefault="00A62EEC" w:rsidP="002C75ED">
      <w:pPr>
        <w:ind w:firstLine="397"/>
        <w:rPr>
          <w:rFonts w:ascii="IRBadr" w:hAnsi="IRBadr" w:cs="IRBadr"/>
          <w:sz w:val="34"/>
          <w:rtl/>
        </w:rPr>
      </w:pPr>
      <w:r w:rsidRPr="00A62EEC">
        <w:rPr>
          <w:rFonts w:ascii="IRBadr" w:hAnsi="IRBadr" w:cs="IRBadr" w:hint="cs"/>
          <w:color w:val="000080"/>
          <w:sz w:val="34"/>
          <w:rtl/>
        </w:rPr>
        <w:t>«</w:t>
      </w:r>
      <w:r w:rsidRPr="00A62EEC">
        <w:rPr>
          <w:rFonts w:ascii="IRBadr" w:hAnsi="IRBadr" w:cs="IRBadr"/>
          <w:color w:val="000080"/>
          <w:sz w:val="34"/>
          <w:rtl/>
        </w:rPr>
        <w:t>و لا يجوز الحلف بغير أسماء اللّه تعالى الخاصّة به أو الغالبة عليه كالرّحمن، فلو حلّفه بالكتب المنزلة، أو الأنبياء، أو الأئمّة، أو الأماكن الشريفة، أو بشي‌ء من الكواكب، أو بغير ذلك من مخلوقات اللّه تعالى، كانت لاغية، و لا يجوز الإحلاف بشي‌ء من ذلك، لأنّه بدعة</w:t>
      </w:r>
      <w:r w:rsidRPr="00A62EEC">
        <w:rPr>
          <w:rFonts w:ascii="IRBadr" w:hAnsi="IRBadr" w:cs="IRBadr" w:hint="cs"/>
          <w:color w:val="000080"/>
          <w:sz w:val="34"/>
          <w:rtl/>
        </w:rPr>
        <w:t>»</w:t>
      </w:r>
      <w:r>
        <w:rPr>
          <w:rStyle w:val="FootnoteReference"/>
          <w:rFonts w:ascii="IRBadr" w:hAnsi="IRBadr" w:cs="IRBadr"/>
          <w:sz w:val="34"/>
          <w:rtl/>
        </w:rPr>
        <w:footnoteReference w:id="6"/>
      </w:r>
      <w:r>
        <w:rPr>
          <w:rFonts w:ascii="IRBadr" w:hAnsi="IRBadr" w:cs="IRBadr" w:hint="cs"/>
          <w:sz w:val="34"/>
          <w:rtl/>
        </w:rPr>
        <w:t>.</w:t>
      </w:r>
    </w:p>
    <w:p w14:paraId="09720B34" w14:textId="0E252037" w:rsidR="00E63443" w:rsidRDefault="008D61D3" w:rsidP="002C75ED">
      <w:pPr>
        <w:ind w:firstLine="397"/>
        <w:rPr>
          <w:rFonts w:ascii="IRBadr" w:hAnsi="IRBadr" w:cs="IRBadr"/>
          <w:sz w:val="34"/>
          <w:rtl/>
        </w:rPr>
      </w:pPr>
      <w:r>
        <w:rPr>
          <w:rFonts w:ascii="IRBadr" w:hAnsi="IRBadr" w:cs="IRBadr" w:hint="cs"/>
          <w:sz w:val="34"/>
          <w:rtl/>
        </w:rPr>
        <w:lastRenderedPageBreak/>
        <w:t>اینکه علامه تعبیر نموده که احلاف بدعت است هرچند از عبارت شیخ طوسی اخذ شده ولی تعبیر احلاف ممکن است مربوط به خصوص دعوی باشد، و چیزی بیش از آن استفاده نمی‌شود، هرچند در تعبیر شیخ طوسی یمین بدعت شمرده شده است. برخی از منابعی که از این مساله بحث نموده به شرح زیر است:</w:t>
      </w:r>
    </w:p>
    <w:p w14:paraId="4151A2D7" w14:textId="1140AD93" w:rsidR="008D61D3" w:rsidRDefault="008D61D3" w:rsidP="002C75ED">
      <w:pPr>
        <w:ind w:firstLine="397"/>
        <w:rPr>
          <w:rFonts w:ascii="IRBadr" w:hAnsi="IRBadr" w:cs="IRBadr"/>
          <w:sz w:val="34"/>
          <w:rtl/>
        </w:rPr>
      </w:pPr>
      <w:r>
        <w:rPr>
          <w:rFonts w:ascii="IRBadr" w:hAnsi="IRBadr" w:cs="IRBadr" w:hint="cs"/>
          <w:sz w:val="34"/>
          <w:rtl/>
        </w:rPr>
        <w:t>رسائل میرزای قمی، ج۲، ص۶۹۰</w:t>
      </w:r>
    </w:p>
    <w:p w14:paraId="794FA58F" w14:textId="5DFC9FF2" w:rsidR="008D61D3" w:rsidRDefault="008D61D3" w:rsidP="002C75ED">
      <w:pPr>
        <w:ind w:firstLine="397"/>
        <w:rPr>
          <w:rFonts w:ascii="IRBadr" w:hAnsi="IRBadr" w:cs="IRBadr"/>
          <w:sz w:val="34"/>
          <w:rtl/>
        </w:rPr>
      </w:pPr>
      <w:r>
        <w:rPr>
          <w:rFonts w:ascii="IRBadr" w:hAnsi="IRBadr" w:cs="IRBadr" w:hint="cs"/>
          <w:sz w:val="34"/>
          <w:rtl/>
        </w:rPr>
        <w:t>مناهل، سید مجاهد، ص۷۴۰</w:t>
      </w:r>
    </w:p>
    <w:p w14:paraId="3F90F0A3" w14:textId="42241F04" w:rsidR="008D61D3" w:rsidRDefault="008D61D3" w:rsidP="002C75ED">
      <w:pPr>
        <w:ind w:firstLine="397"/>
        <w:rPr>
          <w:rFonts w:ascii="IRBadr" w:hAnsi="IRBadr" w:cs="IRBadr"/>
          <w:sz w:val="34"/>
          <w:rtl/>
        </w:rPr>
      </w:pPr>
      <w:r>
        <w:rPr>
          <w:rFonts w:ascii="IRBadr" w:hAnsi="IRBadr" w:cs="IRBadr" w:hint="cs"/>
          <w:sz w:val="34"/>
          <w:rtl/>
        </w:rPr>
        <w:t>جواهر، ج۳۵، ص۲۳۲</w:t>
      </w:r>
    </w:p>
    <w:p w14:paraId="7EC6ADF9" w14:textId="137E2AD2" w:rsidR="008D61D3" w:rsidRDefault="008D61D3" w:rsidP="002C75ED">
      <w:pPr>
        <w:ind w:firstLine="397"/>
        <w:rPr>
          <w:rFonts w:ascii="IRBadr" w:hAnsi="IRBadr" w:cs="IRBadr"/>
          <w:sz w:val="34"/>
          <w:rtl/>
        </w:rPr>
      </w:pPr>
      <w:r>
        <w:rPr>
          <w:rFonts w:ascii="IRBadr" w:hAnsi="IRBadr" w:cs="IRBadr" w:hint="cs"/>
          <w:sz w:val="34"/>
          <w:rtl/>
        </w:rPr>
        <w:t>کتاب القضاء آشتیانی، ج۱، ص۴۳۹</w:t>
      </w:r>
    </w:p>
    <w:p w14:paraId="6A3D6AFD" w14:textId="2C167B2A" w:rsidR="008D61D3" w:rsidRDefault="008D61D3" w:rsidP="002C75ED">
      <w:pPr>
        <w:ind w:firstLine="397"/>
        <w:rPr>
          <w:rFonts w:ascii="IRBadr" w:hAnsi="IRBadr" w:cs="IRBadr"/>
          <w:sz w:val="34"/>
          <w:rtl/>
        </w:rPr>
      </w:pPr>
      <w:r>
        <w:rPr>
          <w:rFonts w:ascii="IRBadr" w:hAnsi="IRBadr" w:cs="IRBadr" w:hint="cs"/>
          <w:sz w:val="34"/>
          <w:rtl/>
        </w:rPr>
        <w:t>مستند الشیعة نراقی، ج۱۷، ص۴۷۲. مرحوم نراقی با قاطعیت قائل به حرمت است. تعبیر ایشان چنین است:</w:t>
      </w:r>
    </w:p>
    <w:p w14:paraId="757FB90B" w14:textId="7CFF09AB" w:rsidR="003D3425" w:rsidRDefault="003D3425" w:rsidP="002C75ED">
      <w:pPr>
        <w:ind w:firstLine="397"/>
        <w:rPr>
          <w:rFonts w:ascii="IRBadr" w:hAnsi="IRBadr" w:cs="IRBadr"/>
          <w:sz w:val="34"/>
          <w:rtl/>
        </w:rPr>
      </w:pPr>
      <w:r w:rsidRPr="003D3425">
        <w:rPr>
          <w:rFonts w:ascii="IRBadr" w:hAnsi="IRBadr" w:cs="IRBadr" w:hint="cs"/>
          <w:color w:val="000080"/>
          <w:sz w:val="34"/>
          <w:rtl/>
        </w:rPr>
        <w:t>«</w:t>
      </w:r>
      <w:r w:rsidRPr="003D3425">
        <w:rPr>
          <w:rFonts w:ascii="IRBadr" w:hAnsi="IRBadr" w:cs="IRBadr"/>
          <w:color w:val="000080"/>
          <w:sz w:val="34"/>
          <w:rtl/>
        </w:rPr>
        <w:t>كما لا يصحّ الحلف إلّا باللّه سبحانه، و لا يترتّب الأثر إلّا عليه،</w:t>
      </w:r>
      <w:r w:rsidRPr="003D3425">
        <w:rPr>
          <w:rFonts w:ascii="IRBadr" w:hAnsi="IRBadr" w:cs="IRBadr" w:hint="cs"/>
          <w:color w:val="000080"/>
          <w:sz w:val="34"/>
          <w:rtl/>
        </w:rPr>
        <w:t xml:space="preserve"> </w:t>
      </w:r>
      <w:r w:rsidRPr="003D3425">
        <w:rPr>
          <w:rFonts w:ascii="IRBadr" w:hAnsi="IRBadr" w:cs="IRBadr"/>
          <w:color w:val="000080"/>
          <w:sz w:val="34"/>
          <w:rtl/>
        </w:rPr>
        <w:t>و لا ينعقد في باب الأيمان إلّا به، كذلك لا يجوز الحلف إلّا به سبحانه</w:t>
      </w:r>
      <w:r w:rsidRPr="003D3425">
        <w:rPr>
          <w:rFonts w:ascii="IRBadr" w:hAnsi="IRBadr" w:cs="IRBadr" w:hint="cs"/>
          <w:color w:val="000080"/>
          <w:sz w:val="34"/>
          <w:rtl/>
        </w:rPr>
        <w:t>»</w:t>
      </w:r>
      <w:r w:rsidRPr="003D3425">
        <w:rPr>
          <w:rFonts w:ascii="IRBadr" w:hAnsi="IRBadr" w:cs="IRBadr"/>
          <w:sz w:val="34"/>
          <w:rtl/>
        </w:rPr>
        <w:t>.</w:t>
      </w:r>
    </w:p>
    <w:p w14:paraId="5F22E283" w14:textId="5813159F" w:rsidR="00D925D8" w:rsidRDefault="00D925D8" w:rsidP="002C75ED">
      <w:pPr>
        <w:ind w:firstLine="397"/>
        <w:rPr>
          <w:rFonts w:ascii="IRBadr" w:hAnsi="IRBadr" w:cs="IRBadr"/>
          <w:sz w:val="34"/>
          <w:rtl/>
        </w:rPr>
      </w:pPr>
      <w:r>
        <w:rPr>
          <w:rFonts w:ascii="IRBadr" w:hAnsi="IRBadr" w:cs="IRBadr" w:hint="cs"/>
          <w:sz w:val="34"/>
          <w:rtl/>
        </w:rPr>
        <w:t>ملا صالح مازندرانی عبارتی در شرح یک روایت وارد شده است. در روایتی تعبیر «لا و قرابتی» وارد شده است. در این تعبیر پیامبر (ص) به قرابت خویش قسم یاد کرده است. ملا صالح در شرح‌ آن آورده است:</w:t>
      </w:r>
    </w:p>
    <w:p w14:paraId="6F314A8D" w14:textId="4B494F39" w:rsidR="00D925D8" w:rsidRDefault="00D925D8" w:rsidP="002C75ED">
      <w:pPr>
        <w:ind w:firstLine="397"/>
        <w:rPr>
          <w:rFonts w:ascii="IRBadr" w:hAnsi="IRBadr" w:cs="IRBadr"/>
          <w:sz w:val="34"/>
          <w:rtl/>
        </w:rPr>
      </w:pPr>
      <w:r w:rsidRPr="00D925D8">
        <w:rPr>
          <w:rFonts w:ascii="IRBadr" w:hAnsi="IRBadr" w:cs="IRBadr" w:hint="cs"/>
          <w:color w:val="000080"/>
          <w:sz w:val="34"/>
          <w:rtl/>
        </w:rPr>
        <w:t>«</w:t>
      </w:r>
      <w:r w:rsidRPr="00D925D8">
        <w:rPr>
          <w:rFonts w:ascii="IRBadr" w:hAnsi="IRBadr" w:cs="IRBadr"/>
          <w:color w:val="000080"/>
          <w:sz w:val="34"/>
          <w:rtl/>
        </w:rPr>
        <w:t xml:space="preserve">فإن قلت قد صرّحوا بأنّه لا يجوز الحلف بغير اللّه تعالى كالكتب المنزلة و الأنبياء و الائمّة و القرابة و نحوها، و دلّ عليه قول الصادق عليه السّلام </w:t>
      </w:r>
      <w:r w:rsidRPr="00013AFD">
        <w:rPr>
          <w:rFonts w:ascii="IRBadr" w:hAnsi="IRBadr" w:cs="IRBadr"/>
          <w:color w:val="008000"/>
          <w:sz w:val="34"/>
          <w:rtl/>
        </w:rPr>
        <w:t>«لا يحلف بغير اللّه»</w:t>
      </w:r>
      <w:r w:rsidRPr="00D925D8">
        <w:rPr>
          <w:rFonts w:ascii="IRBadr" w:hAnsi="IRBadr" w:cs="IRBadr"/>
          <w:color w:val="000080"/>
          <w:sz w:val="34"/>
          <w:rtl/>
        </w:rPr>
        <w:t xml:space="preserve"> قلنا: لعلّ التصريح و النهي في الدّعاوي، و أمّا في غيرها فالظاهر أنّه يجوز إذا كان له شأن و منزلة، كيف لا؟ و قد وقع ذلك في كثير من الأدعية</w:t>
      </w:r>
      <w:r w:rsidRPr="00D925D8">
        <w:rPr>
          <w:rFonts w:ascii="IRBadr" w:hAnsi="IRBadr" w:cs="IRBadr" w:hint="cs"/>
          <w:color w:val="000080"/>
          <w:sz w:val="34"/>
          <w:rtl/>
        </w:rPr>
        <w:t>»</w:t>
      </w:r>
      <w:r w:rsidR="00013AFD">
        <w:rPr>
          <w:rStyle w:val="FootnoteReference"/>
          <w:rFonts w:ascii="IRBadr" w:hAnsi="IRBadr" w:cs="IRBadr"/>
          <w:color w:val="000080"/>
          <w:sz w:val="34"/>
          <w:rtl/>
        </w:rPr>
        <w:footnoteReference w:id="7"/>
      </w:r>
      <w:r w:rsidRPr="00D925D8">
        <w:rPr>
          <w:rFonts w:ascii="IRBadr" w:hAnsi="IRBadr" w:cs="IRBadr"/>
          <w:sz w:val="34"/>
          <w:rtl/>
        </w:rPr>
        <w:t>.</w:t>
      </w:r>
    </w:p>
    <w:p w14:paraId="567115F9" w14:textId="32A18B0E" w:rsidR="00013AFD" w:rsidRDefault="00013AFD" w:rsidP="002C75ED">
      <w:pPr>
        <w:ind w:firstLine="397"/>
        <w:rPr>
          <w:rFonts w:ascii="IRBadr" w:hAnsi="IRBadr" w:cs="IRBadr"/>
          <w:sz w:val="34"/>
          <w:rtl/>
        </w:rPr>
      </w:pPr>
      <w:r>
        <w:rPr>
          <w:rFonts w:ascii="IRBadr" w:hAnsi="IRBadr" w:cs="IRBadr" w:hint="cs"/>
          <w:sz w:val="34"/>
          <w:rtl/>
        </w:rPr>
        <w:t>در انوار اللوامع آمده است:</w:t>
      </w:r>
    </w:p>
    <w:p w14:paraId="243D0118" w14:textId="6654EDE5" w:rsidR="00013AFD" w:rsidRDefault="00013AFD" w:rsidP="002C75ED">
      <w:pPr>
        <w:ind w:firstLine="397"/>
        <w:rPr>
          <w:rFonts w:ascii="IRBadr" w:hAnsi="IRBadr" w:cs="IRBadr"/>
          <w:sz w:val="34"/>
          <w:rtl/>
        </w:rPr>
      </w:pPr>
      <w:r w:rsidRPr="00013AFD">
        <w:rPr>
          <w:rFonts w:ascii="IRBadr" w:hAnsi="IRBadr" w:cs="IRBadr" w:hint="cs"/>
          <w:color w:val="000080"/>
          <w:sz w:val="34"/>
          <w:rtl/>
        </w:rPr>
        <w:t>«</w:t>
      </w:r>
      <w:r w:rsidRPr="00013AFD">
        <w:rPr>
          <w:rFonts w:ascii="IRBadr" w:hAnsi="IRBadr" w:cs="IRBadr"/>
          <w:color w:val="000080"/>
          <w:sz w:val="34"/>
          <w:rtl/>
        </w:rPr>
        <w:t>و ظاهر الحسن و ما جرى مجراه هو التحريم مطلقا، و ربّما قيل بالكراهة كما عليه الإسكافي و الشيخ في أحد قوليه إخلادا إلى ما جاء في بعض الأخبار من الحلف بغيره</w:t>
      </w:r>
      <w:r w:rsidRPr="00013AFD">
        <w:rPr>
          <w:rFonts w:ascii="IRBadr" w:hAnsi="IRBadr" w:cs="IRBadr" w:hint="cs"/>
          <w:color w:val="000080"/>
          <w:sz w:val="34"/>
          <w:rtl/>
        </w:rPr>
        <w:t>»</w:t>
      </w:r>
      <w:r>
        <w:rPr>
          <w:rStyle w:val="FootnoteReference"/>
          <w:rFonts w:ascii="IRBadr" w:hAnsi="IRBadr" w:cs="IRBadr"/>
          <w:color w:val="000080"/>
          <w:sz w:val="34"/>
          <w:rtl/>
        </w:rPr>
        <w:footnoteReference w:id="8"/>
      </w:r>
      <w:r>
        <w:rPr>
          <w:rFonts w:ascii="IRBadr" w:hAnsi="IRBadr" w:cs="IRBadr" w:hint="cs"/>
          <w:sz w:val="34"/>
          <w:rtl/>
        </w:rPr>
        <w:t>.</w:t>
      </w:r>
    </w:p>
    <w:p w14:paraId="78D946DC" w14:textId="483EBB8F" w:rsidR="00013AFD" w:rsidRDefault="00013AFD" w:rsidP="002C75ED">
      <w:pPr>
        <w:ind w:firstLine="397"/>
        <w:rPr>
          <w:rFonts w:ascii="IRBadr" w:hAnsi="IRBadr" w:cs="IRBadr"/>
          <w:sz w:val="34"/>
          <w:rtl/>
        </w:rPr>
      </w:pPr>
      <w:r w:rsidRPr="00013AFD">
        <w:rPr>
          <w:rFonts w:ascii="IRBadr" w:hAnsi="IRBadr" w:cs="IRBadr" w:hint="cs"/>
          <w:b/>
          <w:bCs/>
          <w:sz w:val="34"/>
          <w:rtl/>
        </w:rPr>
        <w:t xml:space="preserve">«ظاهر الحسن»: </w:t>
      </w:r>
      <w:r>
        <w:rPr>
          <w:rFonts w:ascii="IRBadr" w:hAnsi="IRBadr" w:cs="IRBadr" w:hint="cs"/>
          <w:sz w:val="34"/>
          <w:rtl/>
        </w:rPr>
        <w:t>مراد ایشان از «الحسن» روایت محمد بن مسلم است که به جهت ابراهیم بن هاشم از آن به حسنه تعبیر شده است.</w:t>
      </w:r>
    </w:p>
    <w:p w14:paraId="0E3A5A50" w14:textId="498AD8FA" w:rsidR="00013AFD" w:rsidRDefault="00013AFD" w:rsidP="00013AFD">
      <w:pPr>
        <w:ind w:firstLine="397"/>
        <w:rPr>
          <w:rFonts w:ascii="IRBadr" w:hAnsi="IRBadr" w:cs="IRBadr"/>
          <w:sz w:val="34"/>
          <w:rtl/>
        </w:rPr>
      </w:pPr>
      <w:r w:rsidRPr="00013AFD">
        <w:rPr>
          <w:rFonts w:ascii="IRBadr" w:hAnsi="IRBadr" w:cs="IRBadr" w:hint="cs"/>
          <w:b/>
          <w:bCs/>
          <w:sz w:val="34"/>
          <w:rtl/>
        </w:rPr>
        <w:t>«مطلقا»:</w:t>
      </w:r>
      <w:r>
        <w:rPr>
          <w:rFonts w:ascii="IRBadr" w:hAnsi="IRBadr" w:cs="IRBadr" w:hint="cs"/>
          <w:sz w:val="34"/>
          <w:rtl/>
        </w:rPr>
        <w:t xml:space="preserve"> یعنی چه در دعاوی و چه در غیر دعاوی. البته روایت محمد بن مسلم مربوط به دواعی نیست. در این روایت بیان شد که خداوند به هر چه بخواهد قسم می‌خورد ولی مردم نمی‌توانند چنین کنند. در مورد خداوند که دعوی مطرح نیست. فرد روشن این روایت غیر صورت دعاوی است.</w:t>
      </w:r>
    </w:p>
    <w:p w14:paraId="6EB2B8C6" w14:textId="32058514" w:rsidR="00013AFD" w:rsidRDefault="00FF2D6D" w:rsidP="00013AFD">
      <w:pPr>
        <w:ind w:firstLine="397"/>
        <w:rPr>
          <w:rFonts w:ascii="IRBadr" w:hAnsi="IRBadr" w:cs="IRBadr"/>
          <w:sz w:val="34"/>
          <w:rtl/>
        </w:rPr>
      </w:pPr>
      <w:r w:rsidRPr="00FF2D6D">
        <w:rPr>
          <w:rFonts w:ascii="IRBadr" w:hAnsi="IRBadr" w:cs="IRBadr" w:hint="cs"/>
          <w:b/>
          <w:bCs/>
          <w:sz w:val="34"/>
          <w:rtl/>
        </w:rPr>
        <w:t>«جاء فی بعض الأخبار»</w:t>
      </w:r>
      <w:r>
        <w:rPr>
          <w:rFonts w:ascii="IRBadr" w:hAnsi="IRBadr" w:cs="IRBadr" w:hint="cs"/>
          <w:sz w:val="34"/>
          <w:rtl/>
        </w:rPr>
        <w:t xml:space="preserve">: </w:t>
      </w:r>
      <w:r w:rsidR="00D44DF2">
        <w:rPr>
          <w:rFonts w:ascii="IRBadr" w:hAnsi="IRBadr" w:cs="IRBadr" w:hint="cs"/>
          <w:sz w:val="34"/>
          <w:rtl/>
        </w:rPr>
        <w:t xml:space="preserve">این سخن تمام نیست. </w:t>
      </w:r>
      <w:r>
        <w:rPr>
          <w:rFonts w:ascii="IRBadr" w:hAnsi="IRBadr" w:cs="IRBadr" w:hint="cs"/>
          <w:sz w:val="34"/>
          <w:rtl/>
        </w:rPr>
        <w:t>اینکه در اخبار</w:t>
      </w:r>
      <w:r w:rsidR="00D44DF2">
        <w:rPr>
          <w:rFonts w:ascii="IRBadr" w:hAnsi="IRBadr" w:cs="IRBadr" w:hint="cs"/>
          <w:sz w:val="34"/>
          <w:rtl/>
        </w:rPr>
        <w:t>،</w:t>
      </w:r>
      <w:r>
        <w:rPr>
          <w:rFonts w:ascii="IRBadr" w:hAnsi="IRBadr" w:cs="IRBadr" w:hint="cs"/>
          <w:sz w:val="34"/>
          <w:rtl/>
        </w:rPr>
        <w:t xml:space="preserve"> حلف به غیر الله وارد شده دلیل بر آن نیست که روایات ناهیه بر کراهت حمل شود.</w:t>
      </w:r>
      <w:r w:rsidR="00D44DF2">
        <w:rPr>
          <w:rFonts w:ascii="IRBadr" w:hAnsi="IRBadr" w:cs="IRBadr" w:hint="cs"/>
          <w:sz w:val="34"/>
          <w:rtl/>
        </w:rPr>
        <w:t xml:space="preserve"> وجهی ندارد که امر مکروه از ائمه به کثرت صادر شود. البته علت آنکه مرحوم فیض حمل بر کراهت کرده، نه بر دعوی، آن است که روایت محمد بن مسلم قابلیت حمل بر دعوی ندارد. از این رو برخی (گویا آقاضیا باشد) بیان کرده‌اند این روایات متعارض است، بدین بیان که از طرفی حلف به غیر الله در ادعیه کثیره وارد شده و از طرف دیگر مورد نهی قرار گرفته و جمع بین آن دو ممکن نیست. این روایات متعارض هستند و در نتیجه قول به جواز ثابت می‌شود. اگر چنین باشد، روایت بزنطی مشکل می‌شود.</w:t>
      </w:r>
    </w:p>
    <w:p w14:paraId="52289F19" w14:textId="610CA401" w:rsidR="00D44DF2" w:rsidRDefault="00D44DF2" w:rsidP="00D44DF2">
      <w:pPr>
        <w:pStyle w:val="Heading3"/>
        <w:rPr>
          <w:rtl/>
        </w:rPr>
      </w:pPr>
      <w:bookmarkStart w:id="7" w:name="_Toc218997937"/>
      <w:r>
        <w:rPr>
          <w:rFonts w:hint="cs"/>
          <w:rtl/>
        </w:rPr>
        <w:lastRenderedPageBreak/>
        <w:t>بررسی روایت بزنطی با توجه به ادله حرمت حلف به غیر الله</w:t>
      </w:r>
      <w:bookmarkEnd w:id="7"/>
    </w:p>
    <w:p w14:paraId="1F72B08E" w14:textId="1EF2580D" w:rsidR="00D44DF2" w:rsidRDefault="00D44DF2" w:rsidP="00D44DF2">
      <w:pPr>
        <w:ind w:firstLine="397"/>
        <w:rPr>
          <w:rFonts w:ascii="IRBadr" w:hAnsi="IRBadr" w:cs="IRBadr"/>
          <w:sz w:val="34"/>
          <w:rtl/>
        </w:rPr>
      </w:pPr>
      <w:r>
        <w:rPr>
          <w:rFonts w:ascii="IRBadr" w:hAnsi="IRBadr" w:cs="IRBadr" w:hint="cs"/>
          <w:sz w:val="34"/>
          <w:rtl/>
        </w:rPr>
        <w:t>روایتی در ادله وارد شده که قابل توجه است و در کلمات قوم مورد عنایت قرار نگرفته است. شهید اول در دروس چنین بیان کرده است:</w:t>
      </w:r>
    </w:p>
    <w:p w14:paraId="3C71BAE3" w14:textId="45CADFED" w:rsidR="00D44DF2" w:rsidRDefault="00D44DF2" w:rsidP="00D44DF2">
      <w:pPr>
        <w:ind w:firstLine="397"/>
        <w:rPr>
          <w:rFonts w:ascii="Noor_Nazli" w:eastAsia="Times New Roman" w:hAnsi="Noor_Nazli" w:cs="Noor_Nazli"/>
          <w:color w:val="3C3C3C"/>
          <w:sz w:val="24"/>
          <w:szCs w:val="24"/>
          <w:rtl/>
          <w:lang w:bidi="ar"/>
        </w:rPr>
      </w:pPr>
      <w:r w:rsidRPr="00D44DF2">
        <w:rPr>
          <w:rFonts w:ascii="IRBadr" w:hAnsi="IRBadr" w:cs="IRBadr" w:hint="cs"/>
          <w:color w:val="000080"/>
          <w:sz w:val="34"/>
          <w:rtl/>
        </w:rPr>
        <w:t>«</w:t>
      </w:r>
      <w:r w:rsidRPr="00D44DF2">
        <w:rPr>
          <w:rFonts w:ascii="IRBadr" w:hAnsi="IRBadr" w:cs="IRBadr"/>
          <w:color w:val="000080"/>
          <w:sz w:val="34"/>
          <w:rtl/>
        </w:rPr>
        <w:t>وفي تحريمه في غير الدعوى نظر؛ من الخبر</w:t>
      </w:r>
      <w:r>
        <w:rPr>
          <w:rFonts w:ascii="IRBadr" w:hAnsi="IRBadr" w:cs="IRBadr" w:hint="cs"/>
          <w:color w:val="000080"/>
          <w:sz w:val="34"/>
          <w:rtl/>
        </w:rPr>
        <w:t>،</w:t>
      </w:r>
      <w:r w:rsidRPr="00D44DF2">
        <w:rPr>
          <w:rFonts w:ascii="IRBadr" w:hAnsi="IRBadr" w:cs="IRBadr"/>
          <w:color w:val="000080"/>
          <w:sz w:val="34"/>
          <w:rtl/>
        </w:rPr>
        <w:t xml:space="preserve"> والحمل على الكراهية. أمّا الحلف بالطلاق والعتق والكفر والبراءة فحرام قطعاً</w:t>
      </w:r>
      <w:r w:rsidRPr="00D44DF2">
        <w:rPr>
          <w:rFonts w:ascii="IRBadr" w:hAnsi="IRBadr" w:cs="IRBadr" w:hint="cs"/>
          <w:color w:val="000080"/>
          <w:sz w:val="34"/>
          <w:rtl/>
        </w:rPr>
        <w:t>»</w:t>
      </w:r>
      <w:r w:rsidRPr="00D44DF2">
        <w:rPr>
          <w:rFonts w:ascii="Noor_Nazli" w:eastAsia="Times New Roman" w:hAnsi="Noor_Nazli" w:cs="Noor_Nazli"/>
          <w:color w:val="3C3C3C"/>
          <w:sz w:val="24"/>
          <w:szCs w:val="24"/>
          <w:vertAlign w:val="superscript"/>
          <w:rtl/>
          <w:lang w:bidi="ar"/>
        </w:rPr>
        <w:footnoteReference w:id="9"/>
      </w:r>
      <w:r w:rsidRPr="00D44DF2">
        <w:rPr>
          <w:rFonts w:ascii="Noor_Nazli" w:eastAsia="Times New Roman" w:hAnsi="Noor_Nazli" w:cs="Noor_Nazli"/>
          <w:color w:val="3C3C3C"/>
          <w:sz w:val="24"/>
          <w:szCs w:val="24"/>
          <w:rtl/>
          <w:lang w:bidi="ar"/>
        </w:rPr>
        <w:t>.</w:t>
      </w:r>
    </w:p>
    <w:p w14:paraId="6F52F6F7" w14:textId="57E8FE61" w:rsidR="00A943B5" w:rsidRDefault="00D44DF2" w:rsidP="00D44DF2">
      <w:pPr>
        <w:ind w:firstLine="397"/>
        <w:rPr>
          <w:rFonts w:ascii="IRBadr" w:hAnsi="IRBadr" w:cs="IRBadr"/>
          <w:sz w:val="34"/>
          <w:rtl/>
        </w:rPr>
      </w:pPr>
      <w:r>
        <w:rPr>
          <w:rFonts w:ascii="IRBadr" w:hAnsi="IRBadr" w:cs="IRBadr" w:hint="cs"/>
          <w:sz w:val="34"/>
          <w:rtl/>
        </w:rPr>
        <w:t>مراد ایشان از خبر، همان روایت محمد بن مسلم است. به ذیل کلام ایشان که حلف به طلاق و عتاق است در کلمات قوم مورد توجه قرار نگرفته است. البته حلف به کفر و برائت که در کلام ایشان وارد شده روشن است. اینکه شخصی بگوید اگر فلان‌ کار را انجام دهم کافر به خدا</w:t>
      </w:r>
      <w:r w:rsidR="00F448E3">
        <w:rPr>
          <w:rFonts w:ascii="IRBadr" w:hAnsi="IRBadr" w:cs="IRBadr" w:hint="cs"/>
          <w:sz w:val="34"/>
          <w:rtl/>
        </w:rPr>
        <w:t>وند متعال</w:t>
      </w:r>
      <w:r>
        <w:rPr>
          <w:rFonts w:ascii="IRBadr" w:hAnsi="IRBadr" w:cs="IRBadr" w:hint="cs"/>
          <w:sz w:val="34"/>
          <w:rtl/>
        </w:rPr>
        <w:t xml:space="preserve"> و پیامبر </w:t>
      </w:r>
      <w:r w:rsidR="00F448E3">
        <w:rPr>
          <w:rFonts w:ascii="IRBadr" w:hAnsi="IRBadr" w:cs="IRBadr" w:hint="cs"/>
          <w:sz w:val="34"/>
          <w:rtl/>
        </w:rPr>
        <w:t xml:space="preserve">(ص) </w:t>
      </w:r>
      <w:r>
        <w:rPr>
          <w:rFonts w:ascii="IRBadr" w:hAnsi="IRBadr" w:cs="IRBadr" w:hint="cs"/>
          <w:sz w:val="34"/>
          <w:rtl/>
        </w:rPr>
        <w:t>باشم یا برائت از خدا</w:t>
      </w:r>
      <w:r w:rsidR="00F448E3">
        <w:rPr>
          <w:rFonts w:ascii="IRBadr" w:hAnsi="IRBadr" w:cs="IRBadr" w:hint="cs"/>
          <w:sz w:val="34"/>
          <w:rtl/>
        </w:rPr>
        <w:t>ی متعال</w:t>
      </w:r>
      <w:r>
        <w:rPr>
          <w:rFonts w:ascii="IRBadr" w:hAnsi="IRBadr" w:cs="IRBadr" w:hint="cs"/>
          <w:sz w:val="34"/>
          <w:rtl/>
        </w:rPr>
        <w:t xml:space="preserve"> و پیامبر </w:t>
      </w:r>
      <w:r w:rsidR="00F448E3">
        <w:rPr>
          <w:rFonts w:ascii="IRBadr" w:hAnsi="IRBadr" w:cs="IRBadr" w:hint="cs"/>
          <w:sz w:val="34"/>
          <w:rtl/>
        </w:rPr>
        <w:t xml:space="preserve">(ص) </w:t>
      </w:r>
      <w:r>
        <w:rPr>
          <w:rFonts w:ascii="IRBadr" w:hAnsi="IRBadr" w:cs="IRBadr" w:hint="cs"/>
          <w:sz w:val="34"/>
          <w:rtl/>
        </w:rPr>
        <w:t xml:space="preserve">جسته باشم </w:t>
      </w:r>
      <w:r w:rsidR="00F448E3">
        <w:rPr>
          <w:rFonts w:ascii="IRBadr" w:hAnsi="IRBadr" w:cs="IRBadr" w:hint="cs"/>
          <w:sz w:val="34"/>
          <w:rtl/>
        </w:rPr>
        <w:t xml:space="preserve">از موارد تلفظ به صیغه کفر است، و هرچند مشروط و معلّق باشد جایز نیست. جدا از بحث کلی مربوط به حلف به غیر الله، شهید اول حلف به طلاق و عتاق را حرام قطعی قلمداد کرده است. ممکن است بیان شود حلف مشتمل بر صرفا یک انشاء نیست؛ بلکه مشتمل بر یک اخبار است که اخباری دروغ است. بر اساس آنکه حلف مزبور به نحو شرط نتیجه باشد، معنای حلف چنین است که اگر فلان کار را انجام دهم، زوجه من مطلقه است. این سخن دروغ است. وقتی شارع مقدس طلاق مزبور را امضا نکرده </w:t>
      </w:r>
      <w:r w:rsidR="00077607">
        <w:rPr>
          <w:rFonts w:ascii="IRBadr" w:hAnsi="IRBadr" w:cs="IRBadr" w:hint="cs"/>
          <w:sz w:val="34"/>
          <w:rtl/>
        </w:rPr>
        <w:t xml:space="preserve">این حلف، </w:t>
      </w:r>
      <w:r w:rsidR="00F448E3">
        <w:rPr>
          <w:rFonts w:ascii="IRBadr" w:hAnsi="IRBadr" w:cs="IRBadr" w:hint="cs"/>
          <w:sz w:val="34"/>
          <w:rtl/>
        </w:rPr>
        <w:t>سخن دروغی است</w:t>
      </w:r>
      <w:r w:rsidR="00077607">
        <w:rPr>
          <w:rFonts w:ascii="IRBadr" w:hAnsi="IRBadr" w:cs="IRBadr" w:hint="cs"/>
          <w:sz w:val="34"/>
          <w:rtl/>
        </w:rPr>
        <w:t>؛ و حرمتش از این باب است. قسم‌های دیگر انشاء محض است ولی این نوع قسم متضمّن یک اخبار کذب است و این منشا حرمت آن شده است.</w:t>
      </w:r>
      <w:r w:rsidR="00553E7C">
        <w:rPr>
          <w:rFonts w:ascii="IRBadr" w:hAnsi="IRBadr" w:cs="IRBadr" w:hint="cs"/>
          <w:sz w:val="34"/>
          <w:rtl/>
        </w:rPr>
        <w:t xml:space="preserve"> پس این بحث با بحث حلف به غیر اسماء الله تفاوت دارد. شهید اول هم این دو بحث را جدا دانسته است. </w:t>
      </w:r>
    </w:p>
    <w:p w14:paraId="2073BFDC" w14:textId="44781CF4" w:rsidR="00E4602D" w:rsidRDefault="00E4602D" w:rsidP="00E4602D">
      <w:pPr>
        <w:pStyle w:val="Heading3"/>
        <w:rPr>
          <w:rtl/>
        </w:rPr>
      </w:pPr>
      <w:bookmarkStart w:id="8" w:name="_Toc218997938"/>
      <w:r>
        <w:rPr>
          <w:rFonts w:hint="cs"/>
          <w:rtl/>
        </w:rPr>
        <w:t>وجه جمع بین روایات از منظر استاد</w:t>
      </w:r>
      <w:bookmarkEnd w:id="8"/>
    </w:p>
    <w:p w14:paraId="12FD6AAE" w14:textId="0364C0DB" w:rsidR="00D44DF2" w:rsidRDefault="00553E7C" w:rsidP="00D44DF2">
      <w:pPr>
        <w:ind w:firstLine="397"/>
        <w:rPr>
          <w:rFonts w:ascii="IRBadr" w:hAnsi="IRBadr" w:cs="IRBadr"/>
          <w:sz w:val="34"/>
          <w:rtl/>
        </w:rPr>
      </w:pPr>
      <w:r>
        <w:rPr>
          <w:rFonts w:ascii="IRBadr" w:hAnsi="IRBadr" w:cs="IRBadr" w:hint="cs"/>
          <w:sz w:val="34"/>
          <w:rtl/>
        </w:rPr>
        <w:t>در همان بحث حلف به غیر اسماء</w:t>
      </w:r>
      <w:r w:rsidR="00A943B5">
        <w:rPr>
          <w:rFonts w:ascii="IRBadr" w:hAnsi="IRBadr" w:cs="IRBadr" w:hint="cs"/>
          <w:sz w:val="34"/>
          <w:rtl/>
        </w:rPr>
        <w:t xml:space="preserve"> دو وجه جمع بین اخبار از کلمات فقها بیان شد. یک وجه حمل بر کراهت است که با توجه به کثرت ورود آن در کلمات معصومین وجه مردودی است و وجه دیگر حمل روایات ناهیه بر دعاوی است که آن هم بر خلاف ظاهر روایات ناهیه است که برخی از آنها مربوط به دعوی نیست.</w:t>
      </w:r>
      <w:r w:rsidR="005C01A2">
        <w:rPr>
          <w:rFonts w:ascii="IRBadr" w:hAnsi="IRBadr" w:cs="IRBadr" w:hint="cs"/>
          <w:sz w:val="34"/>
          <w:rtl/>
        </w:rPr>
        <w:t xml:space="preserve"> به نظر ما راه حل دیگری برای جمع بین روایات وجود دارد. ما این وجه را به‌خصوص از داستان مربوط به منصور و امام صادق علیه السلام که در حیره واقع شده برداشت کردیم. در بخشی از آن روایت آمده است:</w:t>
      </w:r>
    </w:p>
    <w:p w14:paraId="4B473A9E" w14:textId="4243350A" w:rsidR="005C01A2" w:rsidRDefault="005C01A2" w:rsidP="00D44DF2">
      <w:pPr>
        <w:ind w:firstLine="397"/>
        <w:rPr>
          <w:rFonts w:ascii="IRBadr" w:hAnsi="IRBadr" w:cs="IRBadr"/>
          <w:sz w:val="34"/>
          <w:rtl/>
        </w:rPr>
      </w:pPr>
      <w:r w:rsidRPr="005C01A2">
        <w:rPr>
          <w:rFonts w:ascii="IRBadr" w:hAnsi="IRBadr" w:cs="IRBadr" w:hint="cs"/>
          <w:color w:val="008000"/>
          <w:sz w:val="34"/>
          <w:rtl/>
        </w:rPr>
        <w:t>«</w:t>
      </w:r>
      <w:r w:rsidRPr="005C01A2">
        <w:rPr>
          <w:rFonts w:ascii="IRBadr" w:hAnsi="IRBadr" w:cs="IRBadr"/>
          <w:color w:val="008000"/>
          <w:sz w:val="34"/>
          <w:rtl/>
        </w:rPr>
        <w:t>فَقَالَ رُفِعَ إِلَيَّ أَنَّ مَوْلَاكَ الْمُعَلَّى بْنَ خُنَيْسٍ يَدْعُو إِلَيْكَ وَ يَجْمَعُ لَكَ الْأَمْوَالَ فَقَالَ وَ اللَّهِ مَا كَانَ فَقَالَ لَسْتُ أَرْضَى مِنْكَ إِلَّا بِالطَّلَاقِ وَ الْعَتَاقِ وَ الْهَدْيِ وَ الْمَشْيِ فَقَالَ أَ بِالْأَنْدَادِ مِنْ دُونِ اللَّهِ تَأْمُرُنِي أَنْ أَحْلِفَ إِنَّهُ مَنْ لَمْ يَرْضَ بِاللَّهِ فَلَيْسَ مِنَ اللَّهِ فِي شَيْ‏ءٍ</w:t>
      </w:r>
      <w:r w:rsidRPr="005C01A2">
        <w:rPr>
          <w:rFonts w:ascii="IRBadr" w:hAnsi="IRBadr" w:cs="IRBadr" w:hint="cs"/>
          <w:color w:val="008000"/>
          <w:sz w:val="34"/>
          <w:rtl/>
        </w:rPr>
        <w:t>»</w:t>
      </w:r>
      <w:r>
        <w:rPr>
          <w:rStyle w:val="FootnoteReference"/>
          <w:rFonts w:ascii="IRBadr" w:hAnsi="IRBadr" w:cs="IRBadr"/>
          <w:color w:val="008000"/>
          <w:sz w:val="34"/>
          <w:rtl/>
        </w:rPr>
        <w:footnoteReference w:id="10"/>
      </w:r>
      <w:r>
        <w:rPr>
          <w:rFonts w:ascii="IRBadr" w:hAnsi="IRBadr" w:cs="IRBadr" w:hint="cs"/>
          <w:sz w:val="34"/>
          <w:rtl/>
        </w:rPr>
        <w:t>.</w:t>
      </w:r>
    </w:p>
    <w:p w14:paraId="1EC658CB" w14:textId="2EEBB511" w:rsidR="00CE56ED" w:rsidRDefault="005C01A2" w:rsidP="00CE56ED">
      <w:pPr>
        <w:ind w:firstLine="397"/>
        <w:rPr>
          <w:rFonts w:ascii="IRBadr" w:hAnsi="IRBadr" w:cs="IRBadr"/>
          <w:sz w:val="34"/>
          <w:rtl/>
        </w:rPr>
      </w:pPr>
      <w:r>
        <w:rPr>
          <w:rFonts w:ascii="IRBadr" w:hAnsi="IRBadr" w:cs="IRBadr" w:hint="cs"/>
          <w:sz w:val="34"/>
          <w:rtl/>
        </w:rPr>
        <w:t>قسم به غیر خداوند به دو صورت است. گاهی قسم به غیر خدا بدان جهت است که قسم به خدا، کفایت و رادعیت ندارد. یعنی قسم به غیر خدا بالاتر از قسم به خدا شمرده می‌شود. چنین قسمی انداد است. اینکه عظمت و اهمیت قسم به طلاق و عتاق بالاتر از اهمیت قسم به خداوند تلقی گردد، حرام است. قسم‌هایی که ائمه به غیر الله یاد کرده‌اند مثل قسم به جان خودشان (مثل تعبیر «لَعَمرِی» که به کثرت در نهج البلاغه وارد شده است) به جهت آن بوده که نمی‌خواستند به خداوند قسم بخورند؛ چرا که آن را بسیار عظیم می‌دانسته‌اند.</w:t>
      </w:r>
      <w:r w:rsidR="00383470">
        <w:rPr>
          <w:rFonts w:ascii="IRBadr" w:hAnsi="IRBadr" w:cs="IRBadr" w:hint="cs"/>
          <w:sz w:val="34"/>
          <w:rtl/>
        </w:rPr>
        <w:t xml:space="preserve"> قسم به غیر خدا اگر به جهت آن است که خداوند عظیم شمرده شود و عظمت و حرمت خدا نگه داشته شود چنین قسمی بدون اشکال است، و مکروه هم نیست. حلف به طلاق و عتاق و صدقه</w:t>
      </w:r>
      <w:r w:rsidR="009079EB">
        <w:rPr>
          <w:rFonts w:ascii="IRBadr" w:hAnsi="IRBadr" w:cs="IRBadr" w:hint="cs"/>
          <w:sz w:val="34"/>
          <w:rtl/>
        </w:rPr>
        <w:t xml:space="preserve"> ما یملک در فضایی که رایج بوده به جهت آن بوده که حلف به خداوند مورد پذیرش قرار نمی‌گرفته است، و برای آنکه قسم سنگین‌تر باشد حلف به طلاق و عتاق مطرح می‌شده است. مورد </w:t>
      </w:r>
      <w:r w:rsidR="00CE56ED">
        <w:rPr>
          <w:rFonts w:ascii="IRBadr" w:hAnsi="IRBadr" w:cs="IRBadr" w:hint="cs"/>
          <w:sz w:val="34"/>
          <w:rtl/>
        </w:rPr>
        <w:t xml:space="preserve">متعارف </w:t>
      </w:r>
      <w:r w:rsidR="009079EB">
        <w:rPr>
          <w:rFonts w:ascii="IRBadr" w:hAnsi="IRBadr" w:cs="IRBadr" w:hint="cs"/>
          <w:sz w:val="34"/>
          <w:rtl/>
        </w:rPr>
        <w:t>روایات</w:t>
      </w:r>
      <w:r w:rsidR="00CE56ED">
        <w:rPr>
          <w:rFonts w:ascii="IRBadr" w:hAnsi="IRBadr" w:cs="IRBadr" w:hint="cs"/>
          <w:sz w:val="34"/>
          <w:rtl/>
        </w:rPr>
        <w:t xml:space="preserve"> که مربوط به حلف به طلاق و عتاق است حرمتش </w:t>
      </w:r>
      <w:r w:rsidR="00CE56ED">
        <w:rPr>
          <w:rFonts w:ascii="IRBadr" w:hAnsi="IRBadr" w:cs="IRBadr" w:hint="cs"/>
          <w:sz w:val="34"/>
          <w:rtl/>
        </w:rPr>
        <w:lastRenderedPageBreak/>
        <w:t xml:space="preserve">به جهت آن است که این قسم سنگین‌تر از قسم به خدا تلقی می‌شده است، و چنین حلفی حرام است. این وجه جمع مناسبی برای روایات به نظر می‌رسد. بر این اساس در مورد روایت بزنطی که در محل بحث وارد شده نیز مشکل حل می‌شود. این روایت مربوط به حکم تکلیفی است، نه حکم وضعی. گاهی مشاهده می‌شود که قسم به حضرت عباس بالاتر از قسم به خداوند تلقی می‌شود. چنین قسمی حرام است و ما ابایی از قول به حرمت چنین قسمی نداریم. </w:t>
      </w:r>
    </w:p>
    <w:p w14:paraId="238E200C" w14:textId="7239CC1B" w:rsidR="00CE56ED" w:rsidRPr="00D44DF2" w:rsidRDefault="00CE56ED" w:rsidP="00CE56ED">
      <w:pPr>
        <w:ind w:firstLine="397"/>
        <w:rPr>
          <w:rFonts w:ascii="IRBadr" w:hAnsi="IRBadr" w:cs="IRBadr"/>
          <w:sz w:val="34"/>
          <w:rtl/>
        </w:rPr>
      </w:pPr>
      <w:r>
        <w:rPr>
          <w:rFonts w:ascii="IRBadr" w:hAnsi="IRBadr" w:cs="IRBadr" w:hint="cs"/>
          <w:sz w:val="34"/>
          <w:rtl/>
        </w:rPr>
        <w:t>نکته دیگری که قابل ذکر است آنکه شاید صدور روایت بزنطی از امام رضا علیه السلام خود شاهد بر نظارت آن بر حکم تکلیفی باشد؛ چرا که بطلان وضعی حلف به طلاق و عتاق در زمان ائمه پیشین هم روشن بوده، و حکم تکلیفی آن به روشنی حکم وضعی نبوده است.</w:t>
      </w:r>
    </w:p>
    <w:sectPr w:rsidR="00CE56ED" w:rsidRPr="00D44DF2"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9EBD" w14:textId="77777777" w:rsidR="00D009F3" w:rsidRDefault="00D009F3" w:rsidP="008B750B">
      <w:pPr>
        <w:spacing w:line="240" w:lineRule="auto"/>
      </w:pPr>
      <w:r>
        <w:separator/>
      </w:r>
    </w:p>
    <w:p w14:paraId="50D4AB86" w14:textId="77777777" w:rsidR="00D009F3" w:rsidRDefault="00D009F3"/>
  </w:endnote>
  <w:endnote w:type="continuationSeparator" w:id="0">
    <w:p w14:paraId="6A451AB9" w14:textId="77777777" w:rsidR="00D009F3" w:rsidRDefault="00D009F3" w:rsidP="008B750B">
      <w:pPr>
        <w:spacing w:line="240" w:lineRule="auto"/>
      </w:pPr>
      <w:r>
        <w:continuationSeparator/>
      </w:r>
    </w:p>
    <w:p w14:paraId="781F25B6" w14:textId="77777777" w:rsidR="00D009F3" w:rsidRDefault="00D00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817708" w:rsidRPr="00817708">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8D0B0C" w14:textId="77777777" w:rsidR="00D009F3" w:rsidRDefault="00D009F3" w:rsidP="008B750B">
      <w:pPr>
        <w:spacing w:line="240" w:lineRule="auto"/>
      </w:pPr>
      <w:r>
        <w:separator/>
      </w:r>
    </w:p>
    <w:p w14:paraId="3FEDAD97" w14:textId="77777777" w:rsidR="00D009F3" w:rsidRDefault="00D009F3"/>
  </w:footnote>
  <w:footnote w:type="continuationSeparator" w:id="0">
    <w:p w14:paraId="793D3CAB" w14:textId="77777777" w:rsidR="00D009F3" w:rsidRDefault="00D009F3" w:rsidP="008B750B">
      <w:pPr>
        <w:spacing w:line="240" w:lineRule="auto"/>
      </w:pPr>
      <w:r>
        <w:continuationSeparator/>
      </w:r>
    </w:p>
    <w:p w14:paraId="3D4D644E" w14:textId="77777777" w:rsidR="00D009F3" w:rsidRDefault="00D009F3"/>
  </w:footnote>
  <w:footnote w:id="1">
    <w:p w14:paraId="27CF25C0" w14:textId="214DA4AB" w:rsidR="00FA2F1D" w:rsidRPr="00FA2F1D" w:rsidRDefault="00FA2F1D" w:rsidP="00FA2F1D">
      <w:pPr>
        <w:pStyle w:val="FootnoteText"/>
      </w:pPr>
      <w:r w:rsidRPr="00FA2F1D">
        <w:footnoteRef/>
      </w:r>
      <w:r w:rsidRPr="00FA2F1D">
        <w:rPr>
          <w:rtl/>
        </w:rPr>
        <w:t xml:space="preserve"> </w:t>
      </w:r>
      <w:hyperlink r:id="rId1" w:history="1">
        <w:r w:rsidRPr="00FA2F1D">
          <w:rPr>
            <w:rStyle w:val="Hyperlink"/>
            <w:rtl/>
          </w:rPr>
          <w:t>الکاف</w:t>
        </w:r>
        <w:r w:rsidRPr="00FA2F1D">
          <w:rPr>
            <w:rStyle w:val="Hyperlink"/>
            <w:rFonts w:hint="cs"/>
            <w:rtl/>
          </w:rPr>
          <w:t>ی</w:t>
        </w:r>
        <w:r w:rsidRPr="00FA2F1D">
          <w:rPr>
            <w:rStyle w:val="Hyperlink"/>
            <w:rFonts w:hint="eastAsia"/>
            <w:rtl/>
          </w:rPr>
          <w:t>،</w:t>
        </w:r>
        <w:r w:rsidRPr="00FA2F1D">
          <w:rPr>
            <w:rStyle w:val="Hyperlink"/>
            <w:rtl/>
          </w:rPr>
          <w:t xml:space="preserve"> محمد بن </w:t>
        </w:r>
        <w:r w:rsidRPr="00FA2F1D">
          <w:rPr>
            <w:rStyle w:val="Hyperlink"/>
            <w:rFonts w:hint="cs"/>
            <w:rtl/>
          </w:rPr>
          <w:t>ی</w:t>
        </w:r>
        <w:r w:rsidRPr="00FA2F1D">
          <w:rPr>
            <w:rStyle w:val="Hyperlink"/>
            <w:rFonts w:hint="eastAsia"/>
            <w:rtl/>
          </w:rPr>
          <w:t>عقوب</w:t>
        </w:r>
        <w:r w:rsidRPr="00FA2F1D">
          <w:rPr>
            <w:rStyle w:val="Hyperlink"/>
            <w:rtl/>
          </w:rPr>
          <w:t xml:space="preserve"> کل</w:t>
        </w:r>
        <w:r w:rsidRPr="00FA2F1D">
          <w:rPr>
            <w:rStyle w:val="Hyperlink"/>
            <w:rFonts w:hint="cs"/>
            <w:rtl/>
          </w:rPr>
          <w:t>ی</w:t>
        </w:r>
        <w:r w:rsidRPr="00FA2F1D">
          <w:rPr>
            <w:rStyle w:val="Hyperlink"/>
            <w:rFonts w:hint="eastAsia"/>
            <w:rtl/>
          </w:rPr>
          <w:t>ن</w:t>
        </w:r>
        <w:r w:rsidRPr="00FA2F1D">
          <w:rPr>
            <w:rStyle w:val="Hyperlink"/>
            <w:rFonts w:hint="cs"/>
            <w:rtl/>
          </w:rPr>
          <w:t>ی</w:t>
        </w:r>
        <w:r w:rsidRPr="00FA2F1D">
          <w:rPr>
            <w:rStyle w:val="Hyperlink"/>
            <w:rFonts w:hint="eastAsia"/>
            <w:rtl/>
          </w:rPr>
          <w:t>،</w:t>
        </w:r>
        <w:r w:rsidRPr="00FA2F1D">
          <w:rPr>
            <w:rStyle w:val="Hyperlink"/>
            <w:rtl/>
          </w:rPr>
          <w:t xml:space="preserve"> ج7، ص449</w:t>
        </w:r>
        <w:r w:rsidRPr="00FA2F1D">
          <w:rPr>
            <w:rStyle w:val="Hyperlink"/>
          </w:rPr>
          <w:t>.</w:t>
        </w:r>
      </w:hyperlink>
    </w:p>
  </w:footnote>
  <w:footnote w:id="2">
    <w:p w14:paraId="65E06BE3" w14:textId="463255EF" w:rsidR="00FA2F1D" w:rsidRPr="00FA2F1D" w:rsidRDefault="00FA2F1D" w:rsidP="00FA2F1D">
      <w:pPr>
        <w:pStyle w:val="FootnoteText"/>
      </w:pPr>
      <w:r w:rsidRPr="00FA2F1D">
        <w:footnoteRef/>
      </w:r>
      <w:r w:rsidRPr="00FA2F1D">
        <w:rPr>
          <w:rtl/>
        </w:rPr>
        <w:t xml:space="preserve"> </w:t>
      </w:r>
      <w:hyperlink r:id="rId2" w:history="1">
        <w:r w:rsidRPr="00FA2F1D">
          <w:rPr>
            <w:rStyle w:val="Hyperlink"/>
            <w:rtl/>
          </w:rPr>
          <w:t xml:space="preserve">من لا </w:t>
        </w:r>
        <w:r w:rsidRPr="00FA2F1D">
          <w:rPr>
            <w:rStyle w:val="Hyperlink"/>
            <w:rFonts w:hint="cs"/>
            <w:rtl/>
          </w:rPr>
          <w:t>ی</w:t>
        </w:r>
        <w:r w:rsidRPr="00FA2F1D">
          <w:rPr>
            <w:rStyle w:val="Hyperlink"/>
            <w:rFonts w:hint="eastAsia"/>
            <w:rtl/>
          </w:rPr>
          <w:t>حضره</w:t>
        </w:r>
        <w:r w:rsidRPr="00FA2F1D">
          <w:rPr>
            <w:rStyle w:val="Hyperlink"/>
            <w:rtl/>
          </w:rPr>
          <w:t xml:space="preserve"> الفق</w:t>
        </w:r>
        <w:r w:rsidRPr="00FA2F1D">
          <w:rPr>
            <w:rStyle w:val="Hyperlink"/>
            <w:rFonts w:hint="cs"/>
            <w:rtl/>
          </w:rPr>
          <w:t>ی</w:t>
        </w:r>
        <w:r w:rsidRPr="00FA2F1D">
          <w:rPr>
            <w:rStyle w:val="Hyperlink"/>
            <w:rFonts w:hint="eastAsia"/>
            <w:rtl/>
          </w:rPr>
          <w:t>ه،</w:t>
        </w:r>
        <w:r w:rsidRPr="00FA2F1D">
          <w:rPr>
            <w:rStyle w:val="Hyperlink"/>
            <w:rtl/>
          </w:rPr>
          <w:t xml:space="preserve"> ش</w:t>
        </w:r>
        <w:r w:rsidRPr="00FA2F1D">
          <w:rPr>
            <w:rStyle w:val="Hyperlink"/>
            <w:rFonts w:hint="cs"/>
            <w:rtl/>
          </w:rPr>
          <w:t>ی</w:t>
        </w:r>
        <w:r w:rsidRPr="00FA2F1D">
          <w:rPr>
            <w:rStyle w:val="Hyperlink"/>
            <w:rFonts w:hint="eastAsia"/>
            <w:rtl/>
          </w:rPr>
          <w:t>خ</w:t>
        </w:r>
        <w:r w:rsidRPr="00FA2F1D">
          <w:rPr>
            <w:rStyle w:val="Hyperlink"/>
            <w:rtl/>
          </w:rPr>
          <w:t xml:space="preserve"> صدوق، ج3، ص376</w:t>
        </w:r>
        <w:r w:rsidRPr="00FA2F1D">
          <w:rPr>
            <w:rStyle w:val="Hyperlink"/>
          </w:rPr>
          <w:t>.</w:t>
        </w:r>
      </w:hyperlink>
    </w:p>
  </w:footnote>
  <w:footnote w:id="3">
    <w:p w14:paraId="6D27E4D5" w14:textId="5EBD96EC" w:rsidR="006F17A1" w:rsidRPr="006F17A1" w:rsidRDefault="006F17A1" w:rsidP="006F17A1">
      <w:pPr>
        <w:pStyle w:val="FootnoteText"/>
      </w:pPr>
      <w:r w:rsidRPr="006F17A1">
        <w:footnoteRef/>
      </w:r>
      <w:r w:rsidRPr="006F17A1">
        <w:rPr>
          <w:rtl/>
        </w:rPr>
        <w:t xml:space="preserve"> </w:t>
      </w:r>
      <w:hyperlink r:id="rId3" w:history="1">
        <w:r w:rsidRPr="006F17A1">
          <w:rPr>
            <w:rStyle w:val="Hyperlink"/>
            <w:rtl/>
          </w:rPr>
          <w:t>النها</w:t>
        </w:r>
        <w:r w:rsidRPr="006F17A1">
          <w:rPr>
            <w:rStyle w:val="Hyperlink"/>
            <w:rFonts w:hint="cs"/>
            <w:rtl/>
          </w:rPr>
          <w:t>ی</w:t>
        </w:r>
        <w:r w:rsidRPr="006F17A1">
          <w:rPr>
            <w:rStyle w:val="Hyperlink"/>
            <w:rFonts w:hint="eastAsia"/>
            <w:rtl/>
          </w:rPr>
          <w:t>ة</w:t>
        </w:r>
        <w:r w:rsidRPr="006F17A1">
          <w:rPr>
            <w:rStyle w:val="Hyperlink"/>
            <w:rtl/>
          </w:rPr>
          <w:t xml:space="preserve"> ف</w:t>
        </w:r>
        <w:r w:rsidRPr="006F17A1">
          <w:rPr>
            <w:rStyle w:val="Hyperlink"/>
            <w:rFonts w:hint="cs"/>
            <w:rtl/>
          </w:rPr>
          <w:t>ی</w:t>
        </w:r>
        <w:r w:rsidRPr="006F17A1">
          <w:rPr>
            <w:rStyle w:val="Hyperlink"/>
            <w:rtl/>
          </w:rPr>
          <w:t xml:space="preserve"> مجرد الفقه و الفتو</w:t>
        </w:r>
        <w:r w:rsidRPr="006F17A1">
          <w:rPr>
            <w:rStyle w:val="Hyperlink"/>
            <w:rFonts w:hint="cs"/>
            <w:rtl/>
          </w:rPr>
          <w:t>ی</w:t>
        </w:r>
        <w:r w:rsidRPr="006F17A1">
          <w:rPr>
            <w:rStyle w:val="Hyperlink"/>
            <w:rFonts w:hint="eastAsia"/>
            <w:rtl/>
          </w:rPr>
          <w:t>،</w:t>
        </w:r>
        <w:r w:rsidRPr="006F17A1">
          <w:rPr>
            <w:rStyle w:val="Hyperlink"/>
            <w:rtl/>
          </w:rPr>
          <w:t xml:space="preserve"> ش</w:t>
        </w:r>
        <w:r w:rsidRPr="006F17A1">
          <w:rPr>
            <w:rStyle w:val="Hyperlink"/>
            <w:rFonts w:hint="cs"/>
            <w:rtl/>
          </w:rPr>
          <w:t>ی</w:t>
        </w:r>
        <w:r w:rsidRPr="006F17A1">
          <w:rPr>
            <w:rStyle w:val="Hyperlink"/>
            <w:rFonts w:hint="eastAsia"/>
            <w:rtl/>
          </w:rPr>
          <w:t>خ</w:t>
        </w:r>
        <w:r w:rsidRPr="006F17A1">
          <w:rPr>
            <w:rStyle w:val="Hyperlink"/>
            <w:rtl/>
          </w:rPr>
          <w:t xml:space="preserve"> طوس</w:t>
        </w:r>
        <w:r w:rsidRPr="006F17A1">
          <w:rPr>
            <w:rStyle w:val="Hyperlink"/>
            <w:rFonts w:hint="cs"/>
            <w:rtl/>
          </w:rPr>
          <w:t>ی</w:t>
        </w:r>
        <w:r w:rsidRPr="006F17A1">
          <w:rPr>
            <w:rStyle w:val="Hyperlink"/>
            <w:rFonts w:hint="eastAsia"/>
            <w:rtl/>
          </w:rPr>
          <w:t>،</w:t>
        </w:r>
        <w:r w:rsidRPr="006F17A1">
          <w:rPr>
            <w:rStyle w:val="Hyperlink"/>
            <w:rtl/>
          </w:rPr>
          <w:t xml:space="preserve"> ص346</w:t>
        </w:r>
        <w:r w:rsidRPr="006F17A1">
          <w:rPr>
            <w:rStyle w:val="Hyperlink"/>
          </w:rPr>
          <w:t>.</w:t>
        </w:r>
      </w:hyperlink>
    </w:p>
  </w:footnote>
  <w:footnote w:id="4">
    <w:p w14:paraId="5ABB4DF6" w14:textId="2EDB751D" w:rsidR="006F17A1" w:rsidRPr="006F17A1" w:rsidRDefault="006F17A1" w:rsidP="006F17A1">
      <w:pPr>
        <w:pStyle w:val="FootnoteText"/>
      </w:pPr>
      <w:r w:rsidRPr="006F17A1">
        <w:footnoteRef/>
      </w:r>
      <w:r w:rsidRPr="006F17A1">
        <w:rPr>
          <w:rtl/>
        </w:rPr>
        <w:t xml:space="preserve"> </w:t>
      </w:r>
      <w:hyperlink r:id="rId4" w:history="1">
        <w:r w:rsidRPr="006F17A1">
          <w:rPr>
            <w:rStyle w:val="Hyperlink"/>
            <w:rtl/>
          </w:rPr>
          <w:t>المبسوط ف</w:t>
        </w:r>
        <w:r w:rsidRPr="006F17A1">
          <w:rPr>
            <w:rStyle w:val="Hyperlink"/>
            <w:rFonts w:hint="cs"/>
            <w:rtl/>
          </w:rPr>
          <w:t>ی</w:t>
        </w:r>
        <w:r w:rsidRPr="006F17A1">
          <w:rPr>
            <w:rStyle w:val="Hyperlink"/>
            <w:rtl/>
          </w:rPr>
          <w:t xml:space="preserve"> فقه الإمام</w:t>
        </w:r>
        <w:r w:rsidRPr="006F17A1">
          <w:rPr>
            <w:rStyle w:val="Hyperlink"/>
            <w:rFonts w:hint="cs"/>
            <w:rtl/>
          </w:rPr>
          <w:t>ی</w:t>
        </w:r>
        <w:r w:rsidRPr="006F17A1">
          <w:rPr>
            <w:rStyle w:val="Hyperlink"/>
            <w:rFonts w:hint="eastAsia"/>
            <w:rtl/>
          </w:rPr>
          <w:t>ة،</w:t>
        </w:r>
        <w:r w:rsidRPr="006F17A1">
          <w:rPr>
            <w:rStyle w:val="Hyperlink"/>
            <w:rtl/>
          </w:rPr>
          <w:t xml:space="preserve"> ش</w:t>
        </w:r>
        <w:r w:rsidRPr="006F17A1">
          <w:rPr>
            <w:rStyle w:val="Hyperlink"/>
            <w:rFonts w:hint="cs"/>
            <w:rtl/>
          </w:rPr>
          <w:t>ی</w:t>
        </w:r>
        <w:r w:rsidRPr="006F17A1">
          <w:rPr>
            <w:rStyle w:val="Hyperlink"/>
            <w:rFonts w:hint="eastAsia"/>
            <w:rtl/>
          </w:rPr>
          <w:t>خ</w:t>
        </w:r>
        <w:r w:rsidRPr="006F17A1">
          <w:rPr>
            <w:rStyle w:val="Hyperlink"/>
            <w:rtl/>
          </w:rPr>
          <w:t xml:space="preserve"> طوس</w:t>
        </w:r>
        <w:r w:rsidRPr="006F17A1">
          <w:rPr>
            <w:rStyle w:val="Hyperlink"/>
            <w:rFonts w:hint="cs"/>
            <w:rtl/>
          </w:rPr>
          <w:t>ی</w:t>
        </w:r>
        <w:r w:rsidRPr="006F17A1">
          <w:rPr>
            <w:rStyle w:val="Hyperlink"/>
            <w:rFonts w:hint="eastAsia"/>
            <w:rtl/>
          </w:rPr>
          <w:t>،</w:t>
        </w:r>
        <w:r w:rsidRPr="006F17A1">
          <w:rPr>
            <w:rStyle w:val="Hyperlink"/>
            <w:rtl/>
          </w:rPr>
          <w:t xml:space="preserve"> ج6، ص191</w:t>
        </w:r>
        <w:r w:rsidRPr="006F17A1">
          <w:rPr>
            <w:rStyle w:val="Hyperlink"/>
          </w:rPr>
          <w:t>.</w:t>
        </w:r>
      </w:hyperlink>
    </w:p>
  </w:footnote>
  <w:footnote w:id="5">
    <w:p w14:paraId="686F865A" w14:textId="465286FA" w:rsidR="00E63443" w:rsidRDefault="00E63443">
      <w:pPr>
        <w:pStyle w:val="FootnoteText"/>
      </w:pPr>
      <w:r>
        <w:rPr>
          <w:rStyle w:val="FootnoteReference"/>
        </w:rPr>
        <w:footnoteRef/>
      </w:r>
      <w:r>
        <w:rPr>
          <w:rtl/>
        </w:rPr>
        <w:t xml:space="preserve"> </w:t>
      </w:r>
      <w:r>
        <w:rPr>
          <w:rFonts w:hint="cs"/>
          <w:rtl/>
        </w:rPr>
        <w:t>نظام القضاء، ج۱، ص۴۶۲.</w:t>
      </w:r>
    </w:p>
  </w:footnote>
  <w:footnote w:id="6">
    <w:p w14:paraId="5F260154" w14:textId="340F441A" w:rsidR="00A62EEC" w:rsidRDefault="00A62EEC">
      <w:pPr>
        <w:pStyle w:val="FootnoteText"/>
      </w:pPr>
      <w:r>
        <w:rPr>
          <w:rStyle w:val="FootnoteReference"/>
        </w:rPr>
        <w:footnoteRef/>
      </w:r>
      <w:r>
        <w:rPr>
          <w:rtl/>
        </w:rPr>
        <w:t xml:space="preserve"> </w:t>
      </w:r>
      <w:r>
        <w:rPr>
          <w:rFonts w:hint="cs"/>
          <w:rtl/>
        </w:rPr>
        <w:t>تحریر الأحکام (ط-القدیمة)، ج۲، ص۱۹۰.</w:t>
      </w:r>
    </w:p>
  </w:footnote>
  <w:footnote w:id="7">
    <w:p w14:paraId="5102534F" w14:textId="62BEC2F0" w:rsidR="00013AFD" w:rsidRDefault="00013AFD">
      <w:pPr>
        <w:pStyle w:val="FootnoteText"/>
      </w:pPr>
      <w:r>
        <w:rPr>
          <w:rStyle w:val="FootnoteReference"/>
        </w:rPr>
        <w:footnoteRef/>
      </w:r>
      <w:r>
        <w:rPr>
          <w:rtl/>
        </w:rPr>
        <w:t xml:space="preserve"> </w:t>
      </w:r>
      <w:r w:rsidRPr="00013AFD">
        <w:rPr>
          <w:rtl/>
        </w:rPr>
        <w:t>شرح الكافي-الأصول و الروضة (للمولى صالح المازندراني)، ج‏5، ص: 185</w:t>
      </w:r>
    </w:p>
  </w:footnote>
  <w:footnote w:id="8">
    <w:p w14:paraId="63374FDE" w14:textId="7F1DBB26" w:rsidR="00013AFD" w:rsidRDefault="00013AFD">
      <w:pPr>
        <w:pStyle w:val="FootnoteText"/>
        <w:rPr>
          <w:rtl/>
        </w:rPr>
      </w:pPr>
      <w:r>
        <w:rPr>
          <w:rStyle w:val="FootnoteReference"/>
        </w:rPr>
        <w:footnoteRef/>
      </w:r>
      <w:r>
        <w:rPr>
          <w:rtl/>
        </w:rPr>
        <w:t xml:space="preserve"> </w:t>
      </w:r>
      <w:r>
        <w:rPr>
          <w:rFonts w:hint="cs"/>
          <w:rtl/>
        </w:rPr>
        <w:t>الأنوار اللوامع،‌ ج۱۴، ص۱۲۷.</w:t>
      </w:r>
    </w:p>
  </w:footnote>
  <w:footnote w:id="9">
    <w:p w14:paraId="6DF19DF4" w14:textId="77777777" w:rsidR="00D44DF2" w:rsidRDefault="00D44DF2" w:rsidP="00D44DF2">
      <w:pPr>
        <w:pStyle w:val="FootnoteText"/>
        <w:rPr>
          <w:color w:val="3C3C3C"/>
          <w:rtl/>
          <w:lang w:bidi="ar-SA"/>
        </w:rPr>
      </w:pPr>
      <w:r>
        <w:rPr>
          <w:rStyle w:val="FootnoteReference"/>
          <w:color w:val="3C3C3C"/>
        </w:rPr>
        <w:footnoteRef/>
      </w:r>
      <w:r>
        <w:rPr>
          <w:color w:val="3C3C3C"/>
          <w:rtl/>
        </w:rPr>
        <w:t> </w:t>
      </w:r>
      <w:r>
        <w:rPr>
          <w:color w:val="3C3C3C"/>
          <w:rtl/>
        </w:rPr>
        <w:t xml:space="preserve">شهید اول محمد بن مکی. </w:t>
      </w:r>
      <w:r>
        <w:rPr>
          <w:i/>
          <w:iCs/>
          <w:color w:val="3C3C3C"/>
          <w:rtl/>
        </w:rPr>
        <w:t>موسوعة الشهید الأول</w:t>
      </w:r>
      <w:r>
        <w:rPr>
          <w:color w:val="3C3C3C"/>
          <w:rtl/>
        </w:rPr>
        <w:t>. ج 10، مکتب الاعلام الاسلامي في الحوزة العلمية. قم المقدسة. معاونیة الابحاث. مرکز العلوم و الثقافة الاسلامية، 1430، ص 75.</w:t>
      </w:r>
    </w:p>
  </w:footnote>
  <w:footnote w:id="10">
    <w:p w14:paraId="454ADCD7" w14:textId="385F7CCA" w:rsidR="005C01A2" w:rsidRPr="005C01A2" w:rsidRDefault="005C01A2" w:rsidP="005C01A2">
      <w:pPr>
        <w:pStyle w:val="FootnoteText"/>
      </w:pPr>
      <w:r w:rsidRPr="005C01A2">
        <w:footnoteRef/>
      </w:r>
      <w:r w:rsidRPr="005C01A2">
        <w:rPr>
          <w:rtl/>
        </w:rPr>
        <w:t xml:space="preserve"> </w:t>
      </w:r>
      <w:hyperlink r:id="rId5" w:history="1">
        <w:r w:rsidRPr="005C01A2">
          <w:rPr>
            <w:rStyle w:val="Hyperlink"/>
            <w:rtl/>
          </w:rPr>
          <w:t>الکاف</w:t>
        </w:r>
        <w:r w:rsidRPr="005C01A2">
          <w:rPr>
            <w:rStyle w:val="Hyperlink"/>
            <w:rFonts w:hint="cs"/>
            <w:rtl/>
          </w:rPr>
          <w:t>ی</w:t>
        </w:r>
        <w:r w:rsidRPr="005C01A2">
          <w:rPr>
            <w:rStyle w:val="Hyperlink"/>
            <w:rFonts w:hint="eastAsia"/>
            <w:rtl/>
          </w:rPr>
          <w:t>،</w:t>
        </w:r>
        <w:r w:rsidRPr="005C01A2">
          <w:rPr>
            <w:rStyle w:val="Hyperlink"/>
            <w:rtl/>
          </w:rPr>
          <w:t xml:space="preserve"> محمد بن </w:t>
        </w:r>
        <w:r w:rsidRPr="005C01A2">
          <w:rPr>
            <w:rStyle w:val="Hyperlink"/>
            <w:rFonts w:hint="cs"/>
            <w:rtl/>
          </w:rPr>
          <w:t>ی</w:t>
        </w:r>
        <w:r w:rsidRPr="005C01A2">
          <w:rPr>
            <w:rStyle w:val="Hyperlink"/>
            <w:rFonts w:hint="eastAsia"/>
            <w:rtl/>
          </w:rPr>
          <w:t>عقوب</w:t>
        </w:r>
        <w:r w:rsidRPr="005C01A2">
          <w:rPr>
            <w:rStyle w:val="Hyperlink"/>
            <w:rtl/>
          </w:rPr>
          <w:t xml:space="preserve"> کل</w:t>
        </w:r>
        <w:r w:rsidRPr="005C01A2">
          <w:rPr>
            <w:rStyle w:val="Hyperlink"/>
            <w:rFonts w:hint="cs"/>
            <w:rtl/>
          </w:rPr>
          <w:t>ی</w:t>
        </w:r>
        <w:r w:rsidRPr="005C01A2">
          <w:rPr>
            <w:rStyle w:val="Hyperlink"/>
            <w:rFonts w:hint="eastAsia"/>
            <w:rtl/>
          </w:rPr>
          <w:t>ن</w:t>
        </w:r>
        <w:r w:rsidRPr="005C01A2">
          <w:rPr>
            <w:rStyle w:val="Hyperlink"/>
            <w:rFonts w:hint="cs"/>
            <w:rtl/>
          </w:rPr>
          <w:t>ی</w:t>
        </w:r>
        <w:r w:rsidRPr="005C01A2">
          <w:rPr>
            <w:rStyle w:val="Hyperlink"/>
            <w:rFonts w:hint="eastAsia"/>
            <w:rtl/>
          </w:rPr>
          <w:t>،</w:t>
        </w:r>
        <w:r w:rsidRPr="005C01A2">
          <w:rPr>
            <w:rStyle w:val="Hyperlink"/>
            <w:rtl/>
          </w:rPr>
          <w:t xml:space="preserve"> ج6، ص446</w:t>
        </w:r>
        <w:r w:rsidRPr="005C01A2">
          <w:rPr>
            <w:rStyle w:val="Hyperlink"/>
          </w:rPr>
          <w: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3AFD"/>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607"/>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1FE2"/>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DF"/>
    <w:rsid w:val="00141470"/>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988"/>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70BE7"/>
    <w:rsid w:val="00270DF7"/>
    <w:rsid w:val="00270F65"/>
    <w:rsid w:val="00271626"/>
    <w:rsid w:val="00272128"/>
    <w:rsid w:val="002732B5"/>
    <w:rsid w:val="002732CC"/>
    <w:rsid w:val="002733C6"/>
    <w:rsid w:val="0027373C"/>
    <w:rsid w:val="00274135"/>
    <w:rsid w:val="0027464B"/>
    <w:rsid w:val="0027478E"/>
    <w:rsid w:val="00275A5F"/>
    <w:rsid w:val="0027605E"/>
    <w:rsid w:val="0027646F"/>
    <w:rsid w:val="00276D10"/>
    <w:rsid w:val="00276E20"/>
    <w:rsid w:val="0027736F"/>
    <w:rsid w:val="00277E16"/>
    <w:rsid w:val="00277E86"/>
    <w:rsid w:val="00280E1F"/>
    <w:rsid w:val="00281066"/>
    <w:rsid w:val="00281E00"/>
    <w:rsid w:val="00283CA1"/>
    <w:rsid w:val="00284561"/>
    <w:rsid w:val="00284CCD"/>
    <w:rsid w:val="00285DF3"/>
    <w:rsid w:val="00286654"/>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935"/>
    <w:rsid w:val="002C5BB9"/>
    <w:rsid w:val="002C716A"/>
    <w:rsid w:val="002C75ED"/>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3BB"/>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0B7E"/>
    <w:rsid w:val="0035348B"/>
    <w:rsid w:val="003536F9"/>
    <w:rsid w:val="00353A8A"/>
    <w:rsid w:val="00353B1E"/>
    <w:rsid w:val="00353F70"/>
    <w:rsid w:val="0035434D"/>
    <w:rsid w:val="0035475B"/>
    <w:rsid w:val="00354A99"/>
    <w:rsid w:val="00354CC8"/>
    <w:rsid w:val="003553C5"/>
    <w:rsid w:val="0035615B"/>
    <w:rsid w:val="0035753C"/>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470"/>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E67"/>
    <w:rsid w:val="003D1663"/>
    <w:rsid w:val="003D1B49"/>
    <w:rsid w:val="003D3425"/>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883"/>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4051"/>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C7F31"/>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3E7C"/>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1A2"/>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3098"/>
    <w:rsid w:val="00643332"/>
    <w:rsid w:val="00643FEC"/>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7A1"/>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5F92"/>
    <w:rsid w:val="007B685F"/>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12D"/>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1770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20E"/>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1D3"/>
    <w:rsid w:val="008D6275"/>
    <w:rsid w:val="008D62F3"/>
    <w:rsid w:val="008D63A7"/>
    <w:rsid w:val="008D7E1A"/>
    <w:rsid w:val="008D7F4D"/>
    <w:rsid w:val="008E0433"/>
    <w:rsid w:val="008E0CD0"/>
    <w:rsid w:val="008E1A95"/>
    <w:rsid w:val="008E20E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079EB"/>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639"/>
    <w:rsid w:val="0093221A"/>
    <w:rsid w:val="00932DFB"/>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5B44"/>
    <w:rsid w:val="009A6045"/>
    <w:rsid w:val="009A6449"/>
    <w:rsid w:val="009A7088"/>
    <w:rsid w:val="009B06AE"/>
    <w:rsid w:val="009B0748"/>
    <w:rsid w:val="009B0A95"/>
    <w:rsid w:val="009B0D05"/>
    <w:rsid w:val="009B2C44"/>
    <w:rsid w:val="009B4CA6"/>
    <w:rsid w:val="009B4EA5"/>
    <w:rsid w:val="009B50C4"/>
    <w:rsid w:val="009B56AC"/>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2EEC"/>
    <w:rsid w:val="00A6366F"/>
    <w:rsid w:val="00A6383F"/>
    <w:rsid w:val="00A63A06"/>
    <w:rsid w:val="00A6407D"/>
    <w:rsid w:val="00A64147"/>
    <w:rsid w:val="00A644F6"/>
    <w:rsid w:val="00A64AA2"/>
    <w:rsid w:val="00A65B26"/>
    <w:rsid w:val="00A65BC7"/>
    <w:rsid w:val="00A65D4C"/>
    <w:rsid w:val="00A66049"/>
    <w:rsid w:val="00A6638F"/>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5AF0"/>
    <w:rsid w:val="00A9025A"/>
    <w:rsid w:val="00A90E81"/>
    <w:rsid w:val="00A91F2F"/>
    <w:rsid w:val="00A93099"/>
    <w:rsid w:val="00A93DDD"/>
    <w:rsid w:val="00A943B5"/>
    <w:rsid w:val="00A9540E"/>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1628"/>
    <w:rsid w:val="00AC2306"/>
    <w:rsid w:val="00AC3F90"/>
    <w:rsid w:val="00AC46C5"/>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7AD"/>
    <w:rsid w:val="00BA6F00"/>
    <w:rsid w:val="00BA71FB"/>
    <w:rsid w:val="00BA746D"/>
    <w:rsid w:val="00BA75A6"/>
    <w:rsid w:val="00BB1A0F"/>
    <w:rsid w:val="00BB23FE"/>
    <w:rsid w:val="00BB2711"/>
    <w:rsid w:val="00BB3500"/>
    <w:rsid w:val="00BB35F9"/>
    <w:rsid w:val="00BB455D"/>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3F0E"/>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2754C"/>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558"/>
    <w:rsid w:val="00C61049"/>
    <w:rsid w:val="00C62439"/>
    <w:rsid w:val="00C62528"/>
    <w:rsid w:val="00C62FB8"/>
    <w:rsid w:val="00C63837"/>
    <w:rsid w:val="00C63B49"/>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6ED"/>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9F3"/>
    <w:rsid w:val="00D00EE1"/>
    <w:rsid w:val="00D0154F"/>
    <w:rsid w:val="00D02EE7"/>
    <w:rsid w:val="00D04851"/>
    <w:rsid w:val="00D048CE"/>
    <w:rsid w:val="00D06563"/>
    <w:rsid w:val="00D06EB1"/>
    <w:rsid w:val="00D10985"/>
    <w:rsid w:val="00D10998"/>
    <w:rsid w:val="00D10BAA"/>
    <w:rsid w:val="00D118E5"/>
    <w:rsid w:val="00D12505"/>
    <w:rsid w:val="00D13235"/>
    <w:rsid w:val="00D13701"/>
    <w:rsid w:val="00D1568A"/>
    <w:rsid w:val="00D15CBD"/>
    <w:rsid w:val="00D15F69"/>
    <w:rsid w:val="00D16390"/>
    <w:rsid w:val="00D17767"/>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4DF2"/>
    <w:rsid w:val="00D45455"/>
    <w:rsid w:val="00D4589E"/>
    <w:rsid w:val="00D458E4"/>
    <w:rsid w:val="00D4596F"/>
    <w:rsid w:val="00D46A9C"/>
    <w:rsid w:val="00D478E3"/>
    <w:rsid w:val="00D5139E"/>
    <w:rsid w:val="00D519CB"/>
    <w:rsid w:val="00D51A6C"/>
    <w:rsid w:val="00D5368E"/>
    <w:rsid w:val="00D541E4"/>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2B42"/>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5D8"/>
    <w:rsid w:val="00D92FA6"/>
    <w:rsid w:val="00D9394A"/>
    <w:rsid w:val="00D941F4"/>
    <w:rsid w:val="00D94624"/>
    <w:rsid w:val="00D94BE2"/>
    <w:rsid w:val="00D9643B"/>
    <w:rsid w:val="00DA1147"/>
    <w:rsid w:val="00DA1A07"/>
    <w:rsid w:val="00DA3355"/>
    <w:rsid w:val="00DA3C2B"/>
    <w:rsid w:val="00DA40DB"/>
    <w:rsid w:val="00DA420F"/>
    <w:rsid w:val="00DA52E9"/>
    <w:rsid w:val="00DA5326"/>
    <w:rsid w:val="00DA5418"/>
    <w:rsid w:val="00DA5B94"/>
    <w:rsid w:val="00DA5F40"/>
    <w:rsid w:val="00DA628F"/>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602D"/>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3443"/>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27BC"/>
    <w:rsid w:val="00EE42B8"/>
    <w:rsid w:val="00EE61D2"/>
    <w:rsid w:val="00EE7A2C"/>
    <w:rsid w:val="00EE7D00"/>
    <w:rsid w:val="00EF1EAC"/>
    <w:rsid w:val="00EF1F33"/>
    <w:rsid w:val="00EF223F"/>
    <w:rsid w:val="00EF27FE"/>
    <w:rsid w:val="00EF35A1"/>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8E3"/>
    <w:rsid w:val="00F44CEE"/>
    <w:rsid w:val="00F4716E"/>
    <w:rsid w:val="00F47A59"/>
    <w:rsid w:val="00F507F3"/>
    <w:rsid w:val="00F516A1"/>
    <w:rsid w:val="00F517CD"/>
    <w:rsid w:val="00F54240"/>
    <w:rsid w:val="00F54AD1"/>
    <w:rsid w:val="00F56853"/>
    <w:rsid w:val="00F56B5F"/>
    <w:rsid w:val="00F56FA9"/>
    <w:rsid w:val="00F57253"/>
    <w:rsid w:val="00F574D3"/>
    <w:rsid w:val="00F5774E"/>
    <w:rsid w:val="00F57979"/>
    <w:rsid w:val="00F57CBD"/>
    <w:rsid w:val="00F60CFF"/>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67A"/>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B85"/>
    <w:rsid w:val="00F91CE0"/>
    <w:rsid w:val="00F92B4B"/>
    <w:rsid w:val="00F92F64"/>
    <w:rsid w:val="00F938E7"/>
    <w:rsid w:val="00F9417E"/>
    <w:rsid w:val="00F949C6"/>
    <w:rsid w:val="00F96D0E"/>
    <w:rsid w:val="00F97A38"/>
    <w:rsid w:val="00F97F1A"/>
    <w:rsid w:val="00FA07CD"/>
    <w:rsid w:val="00FA2B72"/>
    <w:rsid w:val="00FA2DB7"/>
    <w:rsid w:val="00FA2F1D"/>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2D6D"/>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4C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6427370">
      <w:bodyDiv w:val="1"/>
      <w:marLeft w:val="0"/>
      <w:marRight w:val="0"/>
      <w:marTop w:val="0"/>
      <w:marBottom w:val="0"/>
      <w:divBdr>
        <w:top w:val="none" w:sz="0" w:space="0" w:color="000000"/>
        <w:left w:val="none" w:sz="0" w:space="0" w:color="000000"/>
        <w:bottom w:val="none" w:sz="0" w:space="0" w:color="000000"/>
        <w:right w:val="none" w:sz="0" w:space="0" w:color="000000"/>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6019170">
      <w:bodyDiv w:val="1"/>
      <w:marLeft w:val="0"/>
      <w:marRight w:val="0"/>
      <w:marTop w:val="0"/>
      <w:marBottom w:val="0"/>
      <w:divBdr>
        <w:top w:val="none" w:sz="0" w:space="0" w:color="000000"/>
        <w:left w:val="none" w:sz="0" w:space="0" w:color="000000"/>
        <w:bottom w:val="none" w:sz="0" w:space="0" w:color="000000"/>
        <w:right w:val="none" w:sz="0" w:space="0" w:color="000000"/>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1864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611">
          <w:marLeft w:val="0"/>
          <w:marRight w:val="0"/>
          <w:marTop w:val="0"/>
          <w:marBottom w:val="0"/>
          <w:divBdr>
            <w:top w:val="none" w:sz="0" w:space="0" w:color="auto"/>
            <w:left w:val="none" w:sz="0" w:space="0" w:color="auto"/>
            <w:bottom w:val="none" w:sz="0" w:space="0" w:color="auto"/>
            <w:right w:val="none" w:sz="0" w:space="0" w:color="auto"/>
          </w:divBdr>
        </w:div>
        <w:div w:id="1746804431">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054/1/346/" TargetMode="External"/><Relationship Id="rId2" Type="http://schemas.openxmlformats.org/officeDocument/2006/relationships/hyperlink" Target="http://lib.eshia.ir/11021/3/376/" TargetMode="External"/><Relationship Id="rId1" Type="http://schemas.openxmlformats.org/officeDocument/2006/relationships/hyperlink" Target="http://lib.eshia.ir/11005/7/449/" TargetMode="External"/><Relationship Id="rId5" Type="http://schemas.openxmlformats.org/officeDocument/2006/relationships/hyperlink" Target="http://lib.eshia.ir/11005/6/446/" TargetMode="External"/><Relationship Id="rId4" Type="http://schemas.openxmlformats.org/officeDocument/2006/relationships/hyperlink" Target="http://lib.eshia.ir/10036/6/19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1743D-389F-4C20-9B4B-02D18E3E2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78174</TotalTime>
  <Pages>5</Pages>
  <Words>1525</Words>
  <Characters>8696</Characters>
  <Application>Microsoft Office Word</Application>
  <DocSecurity>0</DocSecurity>
  <Lines>72</Lines>
  <Paragraphs>20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10201</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1458</cp:revision>
  <cp:lastPrinted>2026-01-11T00:55:00Z</cp:lastPrinted>
  <dcterms:created xsi:type="dcterms:W3CDTF">2024-08-30T15:23:00Z</dcterms:created>
  <dcterms:modified xsi:type="dcterms:W3CDTF">2026-01-26T04:28:00Z</dcterms:modified>
  <cp:contentStatus>ویرایش 2.5</cp:contentStatus>
  <cp:version>2.7</cp:version>
</cp:coreProperties>
</file>