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C3273" w14:textId="77777777" w:rsidR="002566ED" w:rsidRPr="0083204D" w:rsidRDefault="002566ED" w:rsidP="002566ED">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1B8229F" w14:textId="70F7EBCF" w:rsidR="002566ED" w:rsidRPr="0083204D" w:rsidRDefault="002566ED" w:rsidP="002566ED">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1001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68</w:t>
      </w:r>
    </w:p>
    <w:p w14:paraId="6014F41F" w14:textId="77777777" w:rsidR="002566ED" w:rsidRDefault="002566ED" w:rsidP="002566ED">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4A2ED5C8"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509FC2B2" w:rsidR="00EB7D96" w:rsidRPr="002566ED" w:rsidRDefault="00EB7D96" w:rsidP="007F2825">
      <w:pPr>
        <w:ind w:firstLine="397"/>
        <w:rPr>
          <w:rFonts w:ascii="IRBadr" w:hAnsi="IRBadr" w:cs="IRBadr"/>
          <w:b/>
          <w:bCs/>
          <w:color w:val="00B050"/>
          <w:sz w:val="34"/>
          <w:rtl/>
        </w:rPr>
      </w:pPr>
      <w:bookmarkStart w:id="1" w:name="FehStart"/>
      <w:bookmarkEnd w:id="1"/>
      <w:r w:rsidRPr="002566ED">
        <w:rPr>
          <w:rFonts w:ascii="IRBadr" w:hAnsi="IRBadr" w:cs="IRBadr"/>
          <w:b/>
          <w:bCs/>
          <w:color w:val="00B050"/>
          <w:sz w:val="34"/>
          <w:rtl/>
        </w:rPr>
        <w:t>أعوذ باللّه من الشیطان الرجیم</w:t>
      </w:r>
      <w:r w:rsidRPr="002566ED">
        <w:rPr>
          <w:rFonts w:ascii="IRBadr" w:hAnsi="IRBadr" w:cs="IRBadr" w:hint="cs"/>
          <w:b/>
          <w:bCs/>
          <w:color w:val="00B050"/>
          <w:sz w:val="34"/>
          <w:rtl/>
        </w:rPr>
        <w:t>.</w:t>
      </w:r>
      <w:r w:rsidRPr="002566ED">
        <w:rPr>
          <w:rFonts w:ascii="IRBadr" w:hAnsi="IRBadr" w:cs="IRBadr"/>
          <w:b/>
          <w:bCs/>
          <w:color w:val="00B050"/>
          <w:sz w:val="34"/>
          <w:rtl/>
        </w:rPr>
        <w:t xml:space="preserve"> بسم ‌اللّه الرحمن الرحیم</w:t>
      </w:r>
      <w:r w:rsidRPr="002566ED">
        <w:rPr>
          <w:rFonts w:ascii="IRBadr" w:hAnsi="IRBadr" w:cs="IRBadr" w:hint="cs"/>
          <w:b/>
          <w:bCs/>
          <w:color w:val="00B050"/>
          <w:sz w:val="34"/>
          <w:rtl/>
        </w:rPr>
        <w:t>، و به نستعی</w:t>
      </w:r>
      <w:bookmarkStart w:id="2" w:name="_GoBack"/>
      <w:bookmarkEnd w:id="2"/>
      <w:r w:rsidRPr="002566ED">
        <w:rPr>
          <w:rFonts w:ascii="IRBadr" w:hAnsi="IRBadr" w:cs="IRBadr" w:hint="cs"/>
          <w:b/>
          <w:bCs/>
          <w:color w:val="00B050"/>
          <w:sz w:val="34"/>
          <w:rtl/>
        </w:rPr>
        <w:t>ن؛ إنّه خیر ناصر و معین.</w:t>
      </w:r>
      <w:r w:rsidRPr="002566ED">
        <w:rPr>
          <w:rFonts w:ascii="IRBadr" w:hAnsi="IRBadr" w:cs="IRBadr"/>
          <w:b/>
          <w:bCs/>
          <w:color w:val="00B050"/>
          <w:sz w:val="34"/>
          <w:rtl/>
        </w:rPr>
        <w:t xml:space="preserve"> الحمد للّه ربّ العالمین</w:t>
      </w:r>
      <w:r w:rsidRPr="002566ED">
        <w:rPr>
          <w:rFonts w:ascii="IRBadr" w:hAnsi="IRBadr" w:cs="IRBadr" w:hint="cs"/>
          <w:b/>
          <w:bCs/>
          <w:color w:val="00B050"/>
          <w:sz w:val="34"/>
          <w:rtl/>
        </w:rPr>
        <w:t>،</w:t>
      </w:r>
      <w:r w:rsidRPr="002566ED">
        <w:rPr>
          <w:rFonts w:ascii="IRBadr" w:hAnsi="IRBadr" w:cs="IRBadr"/>
          <w:b/>
          <w:bCs/>
          <w:color w:val="00B050"/>
          <w:sz w:val="34"/>
          <w:rtl/>
        </w:rPr>
        <w:t xml:space="preserve"> و صلّی اللّه علی سیّدنا </w:t>
      </w:r>
      <w:r w:rsidRPr="002566ED">
        <w:rPr>
          <w:rFonts w:ascii="IRBadr" w:hAnsi="IRBadr" w:cs="IRBadr" w:hint="cs"/>
          <w:b/>
          <w:bCs/>
          <w:color w:val="00B050"/>
          <w:sz w:val="34"/>
          <w:rtl/>
        </w:rPr>
        <w:t xml:space="preserve">و نبیّنا </w:t>
      </w:r>
      <w:r w:rsidRPr="002566ED">
        <w:rPr>
          <w:rFonts w:ascii="IRBadr" w:hAnsi="IRBadr" w:cs="IRBadr"/>
          <w:b/>
          <w:bCs/>
          <w:color w:val="00B050"/>
          <w:sz w:val="34"/>
          <w:rtl/>
        </w:rPr>
        <w:t>محمّد و آله الطاهرین</w:t>
      </w:r>
      <w:r w:rsidRPr="002566ED">
        <w:rPr>
          <w:rFonts w:ascii="IRBadr" w:hAnsi="IRBadr" w:cs="IRBadr" w:hint="cs"/>
          <w:b/>
          <w:bCs/>
          <w:color w:val="00B050"/>
          <w:sz w:val="34"/>
          <w:rtl/>
        </w:rPr>
        <w:t>،</w:t>
      </w:r>
      <w:r w:rsidRPr="002566ED">
        <w:rPr>
          <w:rFonts w:ascii="IRBadr" w:hAnsi="IRBadr" w:cs="IRBadr"/>
          <w:b/>
          <w:bCs/>
          <w:color w:val="00B050"/>
          <w:sz w:val="34"/>
          <w:rtl/>
        </w:rPr>
        <w:t xml:space="preserve"> و اللعن علی أعدائهم أجمعین</w:t>
      </w:r>
      <w:r w:rsidRPr="002566ED">
        <w:rPr>
          <w:rFonts w:ascii="IRBadr" w:hAnsi="IRBadr" w:cs="IRBadr" w:hint="cs"/>
          <w:b/>
          <w:bCs/>
          <w:color w:val="00B050"/>
          <w:sz w:val="34"/>
          <w:rtl/>
        </w:rPr>
        <w:t xml:space="preserve"> من الآن إلی قیام یوم الدین</w:t>
      </w:r>
      <w:r w:rsidRPr="002566ED">
        <w:rPr>
          <w:rFonts w:ascii="IRBadr" w:hAnsi="IRBadr" w:cs="IRBadr"/>
          <w:b/>
          <w:bCs/>
          <w:color w:val="00B050"/>
          <w:sz w:val="34"/>
          <w:rtl/>
        </w:rPr>
        <w:t>.</w:t>
      </w:r>
    </w:p>
    <w:p w14:paraId="1BFD0EF7" w14:textId="2A772C89" w:rsidR="00F7167A" w:rsidRDefault="00F7167A" w:rsidP="00F7167A">
      <w:pPr>
        <w:pStyle w:val="Heading1"/>
      </w:pPr>
      <w:bookmarkStart w:id="3" w:name="_Toc219032127"/>
      <w:bookmarkStart w:id="4" w:name="_Toc219055157"/>
      <w:bookmarkStart w:id="5" w:name="_Toc219106752"/>
      <w:r>
        <w:rPr>
          <w:rFonts w:hint="cs"/>
          <w:rtl/>
        </w:rPr>
        <w:t>حدیث رفع</w:t>
      </w:r>
      <w:bookmarkEnd w:id="3"/>
      <w:bookmarkEnd w:id="4"/>
      <w:bookmarkEnd w:id="5"/>
    </w:p>
    <w:p w14:paraId="5666C80B" w14:textId="79407109" w:rsidR="00172577" w:rsidRDefault="00172577" w:rsidP="002C75ED">
      <w:pPr>
        <w:ind w:firstLine="397"/>
        <w:rPr>
          <w:rFonts w:ascii="IRBadr" w:hAnsi="IRBadr" w:cs="IRBadr"/>
          <w:sz w:val="34"/>
          <w:rtl/>
        </w:rPr>
      </w:pPr>
      <w:r>
        <w:rPr>
          <w:rFonts w:ascii="IRBadr" w:hAnsi="IRBadr" w:cs="IRBadr" w:hint="cs"/>
          <w:sz w:val="34"/>
          <w:rtl/>
        </w:rPr>
        <w:t>نکاتی در تتمه حدیث رفع باقی مانده که مورد بحث قرار می‌گیرد و پس از آن به بررسی حدیث «لا تعاد» می‌پردازیم.</w:t>
      </w:r>
    </w:p>
    <w:p w14:paraId="383D6520" w14:textId="703921AE" w:rsidR="00172577" w:rsidRDefault="00172577" w:rsidP="00172577">
      <w:pPr>
        <w:pStyle w:val="Heading2"/>
        <w:rPr>
          <w:rtl/>
        </w:rPr>
      </w:pPr>
      <w:bookmarkStart w:id="6" w:name="_Toc219032128"/>
      <w:bookmarkStart w:id="7" w:name="_Toc219055158"/>
      <w:bookmarkStart w:id="8" w:name="_Toc219106753"/>
      <w:r>
        <w:rPr>
          <w:rFonts w:hint="cs"/>
          <w:rtl/>
        </w:rPr>
        <w:t>شمول حدیث رفع نسبت به شاکّ</w:t>
      </w:r>
      <w:bookmarkEnd w:id="6"/>
      <w:bookmarkEnd w:id="7"/>
      <w:bookmarkEnd w:id="8"/>
    </w:p>
    <w:p w14:paraId="6BE8BB58" w14:textId="03C92395" w:rsidR="001E72C9" w:rsidRDefault="001E72C9" w:rsidP="002C75ED">
      <w:pPr>
        <w:ind w:firstLine="397"/>
        <w:rPr>
          <w:rFonts w:ascii="IRBadr" w:hAnsi="IRBadr" w:cs="IRBadr"/>
          <w:sz w:val="34"/>
          <w:rtl/>
        </w:rPr>
      </w:pPr>
      <w:r>
        <w:rPr>
          <w:rFonts w:ascii="IRBadr" w:hAnsi="IRBadr" w:cs="IRBadr" w:hint="cs"/>
          <w:sz w:val="34"/>
          <w:rtl/>
        </w:rPr>
        <w:t>در فقره «ما لا یعلمون» حضرت آیت‌الله والد بیان کرده‌اند که این تعبیر خیلی اوقات در مورد غفلت و جهل مرکب به کار می‌رود؛ بنابراین معلوم نیست این تعبیر ناظر به صورت جهل بسیط و فرض شک باشد. ما سابقا بیان می‌کردیم که این تعبیر هم در موارد غفلت و جهل مرکب به کار می‌رود و هم در مواردی که مشکوک است ولی این بدان معنی نیست که دو معنی داشته باشد؛ بلکه یک معنی دارد که آن عدم علم است. ولی این عدم علم به دو نحو است: گاهی اطلاق مقامی اقتضا دارد که مراد، خصوص صورتی است که شاک نیست و با اطلاق مقامی فرض شک خارج می‌شود؛ چرا که شاکی که در شک خود باقی بماند و با این حال، عمل را انجام دهد فرض نادر است. فرد شاک به طور متعارف فحص و یا احتیاط می‌کند. از آنجا که فرض شک فرض نادر است اگر این فرض بود ذکر می‌شد؛ بنابراین از عدم ذکر آن استفاده می‌شود که صورت شک نبوده است. این اطلاق مقامی در صورتی است که سوال از یک قضیه شخصیه باشد، ولی وقتی حکم به صورت کلی است اطلاق مقامی معنی ندارد. بنابراین از این جهت نمی‌توان فقره «ما لا یعلمون» را مختص غافل و جاهل مرکب دانست.</w:t>
      </w:r>
      <w:r w:rsidR="00163A1F">
        <w:rPr>
          <w:rFonts w:ascii="IRBadr" w:hAnsi="IRBadr" w:cs="IRBadr" w:hint="cs"/>
          <w:sz w:val="34"/>
          <w:rtl/>
        </w:rPr>
        <w:t xml:space="preserve"> اطلاق مقامی مربوط به جایی است که سوال از یک قضیه شخصیه است. در این فرض بیان می‌شود که اگر مورد سوال صورت شک باشد باید ذکر شود، و از عدم ذکر آن استفاده می‌شود که مورد سوال، فرض شک نبوده است، ولی سوال کلی ممکن است شامل جمیع صور اعم از جهل بسیط و جهل مرکب و غفلت باشد</w:t>
      </w:r>
      <w:r w:rsidR="00B7461D">
        <w:rPr>
          <w:rFonts w:ascii="IRBadr" w:hAnsi="IRBadr" w:cs="IRBadr" w:hint="cs"/>
          <w:sz w:val="34"/>
          <w:rtl/>
        </w:rPr>
        <w:t>؛ بنابراین اطلاق ما لا یعلمون شامل صورت شک هم می‌شود.</w:t>
      </w:r>
    </w:p>
    <w:p w14:paraId="20144542" w14:textId="5D93BB62" w:rsidR="00D15719" w:rsidRDefault="00716C94" w:rsidP="002C75ED">
      <w:pPr>
        <w:ind w:firstLine="397"/>
        <w:rPr>
          <w:rFonts w:ascii="IRBadr" w:hAnsi="IRBadr" w:cs="IRBadr"/>
          <w:sz w:val="34"/>
          <w:rtl/>
        </w:rPr>
      </w:pPr>
      <w:r>
        <w:rPr>
          <w:rFonts w:ascii="IRBadr" w:hAnsi="IRBadr" w:cs="IRBadr" w:hint="cs"/>
          <w:sz w:val="34"/>
          <w:rtl/>
        </w:rPr>
        <w:t xml:space="preserve">این سخنی بود که قبلا بیان کرده بودیم. نکته دیگری که باید به آن اضافه کرد این مطلب است که فقره «ما لا یعلمون» شبیه به فقره «ما لا یطیقون» است. معنی این فقره آن است که الزام متوهم در «ما لا یطیقون» مرفوع است. این فقره مثلا اگر بدین معنی باشد که الزام بر امر حرجی مرفوع است، این الزام در موردی است که مکلف واقف به الزام باشد تا بیان شود الزام متوهم مرفوع است، ولی شخصی که به اصل عنوان توجه ندارد، رفع و وضع در مورد آن مطرح نیست. این فقره مربوط به کسی است که به عنوان توجه دارد. شخص غافل و جاهل مرکب التفات به غفلت و جهل ندارد. چنین اشخاصی را نمی‌توان تکلیف کرد یا تکلیف را از آنها برداشت. بله، بعدا که غفلت و جهل مرکب رفع شد ممکن است که </w:t>
      </w:r>
      <w:r>
        <w:rPr>
          <w:rFonts w:ascii="IRBadr" w:hAnsi="IRBadr" w:cs="IRBadr" w:hint="cs"/>
          <w:sz w:val="34"/>
          <w:rtl/>
        </w:rPr>
        <w:lastRenderedPageBreak/>
        <w:t>قضا یا ادا بر آن افراد ثابت شود ولی در حین جهل و غفلت توجه تکلیف به ایشان ممکن نیست. ولی ظهور دلیل آن است که ناظر به الزام و رفع الزام در همان زمان است، نه زمان بعد</w:t>
      </w:r>
      <w:r w:rsidR="00F834B5">
        <w:rPr>
          <w:rFonts w:ascii="IRBadr" w:hAnsi="IRBadr" w:cs="IRBadr" w:hint="cs"/>
          <w:sz w:val="34"/>
          <w:rtl/>
        </w:rPr>
        <w:t xml:space="preserve">. اینکه حدیث رفع مربوط به زمان بعد از رفع غفلت و جهل باشد، خلاف ظاهر روایت است. بنابراین فرد ظاهر و فرد روشن دلیل، شاک است. اگر نگوییم فرد منحصر دلیل، فرد شاک است؛ دست کم فرد ظاهر دلیل، فرد شاک است. فرد روشن دلیل آن است که الزام و محرکیت </w:t>
      </w:r>
      <w:r w:rsidR="00320A9B">
        <w:rPr>
          <w:rFonts w:ascii="IRBadr" w:hAnsi="IRBadr" w:cs="IRBadr" w:hint="cs"/>
          <w:sz w:val="34"/>
          <w:rtl/>
        </w:rPr>
        <w:t xml:space="preserve">برای فردی مرفوع است که خود را مصداق عنوان ببیند و نسبت به این مساله عالم باشد. هیچ شخصی خود را مصداق غافل نمی‌داند. بر فرض آنکه اطلاق دلیل شامل بعد از رفع غفلت و جهل هم باشد -که بعید هم نیست- </w:t>
      </w:r>
      <w:r w:rsidR="00853BF4">
        <w:rPr>
          <w:rFonts w:ascii="IRBadr" w:hAnsi="IRBadr" w:cs="IRBadr" w:hint="cs"/>
          <w:sz w:val="34"/>
          <w:rtl/>
        </w:rPr>
        <w:t>قدر</w:t>
      </w:r>
      <w:r w:rsidR="00320A9B">
        <w:rPr>
          <w:rFonts w:ascii="IRBadr" w:hAnsi="IRBadr" w:cs="IRBadr" w:hint="cs"/>
          <w:sz w:val="34"/>
          <w:rtl/>
        </w:rPr>
        <w:t xml:space="preserve"> مسلّم و فرد ظاهر دلیل، شاک است؛ به نحوی که شاک را نمی‌توان از دلیل، خارج دانست.</w:t>
      </w:r>
    </w:p>
    <w:p w14:paraId="07888FBF" w14:textId="73569BA2" w:rsidR="007B194A" w:rsidRDefault="007B194A" w:rsidP="007B194A">
      <w:pPr>
        <w:pStyle w:val="Heading2"/>
        <w:rPr>
          <w:rtl/>
        </w:rPr>
      </w:pPr>
      <w:bookmarkStart w:id="9" w:name="_Toc219032129"/>
      <w:bookmarkStart w:id="10" w:name="_Toc219055159"/>
      <w:bookmarkStart w:id="11" w:name="_Toc219106754"/>
      <w:r>
        <w:rPr>
          <w:rFonts w:hint="cs"/>
          <w:rtl/>
        </w:rPr>
        <w:t>جریان حدیث رفع در فرض وجود اماره</w:t>
      </w:r>
      <w:bookmarkEnd w:id="9"/>
      <w:bookmarkEnd w:id="10"/>
      <w:bookmarkEnd w:id="11"/>
    </w:p>
    <w:p w14:paraId="30FF8562" w14:textId="26C5B0DC" w:rsidR="007B194A" w:rsidRPr="007B194A" w:rsidRDefault="00853BF4" w:rsidP="007B194A">
      <w:pPr>
        <w:ind w:firstLine="397"/>
        <w:rPr>
          <w:rFonts w:ascii="IRBadr" w:hAnsi="IRBadr" w:cs="IRBadr"/>
          <w:sz w:val="34"/>
          <w:rtl/>
        </w:rPr>
      </w:pPr>
      <w:r>
        <w:rPr>
          <w:rFonts w:ascii="IRBadr" w:hAnsi="IRBadr" w:cs="IRBadr" w:hint="cs"/>
          <w:sz w:val="34"/>
          <w:rtl/>
        </w:rPr>
        <w:t>نکته دیگری که در مورد حدیث رفع شایان ذکر است اینکه ممکن است حدیث رفع در موارد وجود اماره جاری نباشد. در جایی که هیچ دلیلی بر حکم واقعی وجود نداشته باشد حدیث رفع جاری است، ولی در مواردی که اماره وجود دارد و لو بدین صورت که بعدا علم به اماره پیدا شود، جریان حدیث رفع مشکل است</w:t>
      </w:r>
      <w:r w:rsidR="00B51A6A">
        <w:rPr>
          <w:rFonts w:ascii="IRBadr" w:hAnsi="IRBadr" w:cs="IRBadr" w:hint="cs"/>
          <w:sz w:val="34"/>
          <w:rtl/>
        </w:rPr>
        <w:t>؛ بدین بیان که در مواردی که اماره وجود دارد، مکلّف، عالِم است و حدیث رفع موضوع ندارد.</w:t>
      </w:r>
      <w:r w:rsidR="000719D3">
        <w:rPr>
          <w:rFonts w:ascii="IRBadr" w:hAnsi="IRBadr" w:cs="IRBadr" w:hint="cs"/>
          <w:sz w:val="34"/>
          <w:rtl/>
        </w:rPr>
        <w:t xml:space="preserve"> البته در مواردی که اماره موافق اصل باشد محل خلاف است که اصل و اماره متوافقین جاری می‌شوند یا آنکه تنها اماره جاری است. به نظر ما جریان هر دو با هم بدون اشکال است؛ چرا که اماره، علم تنزیلی است، نه علم واقعی. بنابراین حقیقتا «ما لا یعلمون» صدق می‌کند، و این تعبیر، ناظر به رفع حکم مخالف است. روایت شریفه </w:t>
      </w:r>
      <w:r w:rsidR="007B194A" w:rsidRPr="007B194A">
        <w:rPr>
          <w:rFonts w:ascii="IRBadr" w:hAnsi="IRBadr" w:cs="IRBadr" w:hint="cs"/>
          <w:color w:val="008000"/>
          <w:sz w:val="34"/>
          <w:rtl/>
        </w:rPr>
        <w:t>«لَا عُذْرَ لِأَحَدٍ مِنْ مَوَالِينَا فِي التَّشْكِيكِ‏ فِيمَا يُؤَدِّيهِ‏ عَنَّا ثِقَاتُنَا»</w:t>
      </w:r>
      <w:r w:rsidR="007B194A" w:rsidRPr="007B194A">
        <w:rPr>
          <w:rStyle w:val="FootnoteReference"/>
          <w:rFonts w:ascii="IRBadr" w:hAnsi="IRBadr" w:cs="IRBadr"/>
          <w:sz w:val="34"/>
          <w:rtl/>
        </w:rPr>
        <w:footnoteReference w:id="1"/>
      </w:r>
      <w:r w:rsidR="007B194A">
        <w:rPr>
          <w:rFonts w:ascii="IRBadr" w:hAnsi="IRBadr" w:cs="IRBadr" w:hint="cs"/>
          <w:sz w:val="34"/>
          <w:rtl/>
        </w:rPr>
        <w:t xml:space="preserve"> بیانگر آن است که نباید بر طبق دلیل مخالف اماره رفتار کرد ولی نافی جریان اصلی که موافق اماره باشد نیست. </w:t>
      </w:r>
    </w:p>
    <w:p w14:paraId="14E8238D" w14:textId="7B0466F3" w:rsidR="007B194A" w:rsidRDefault="00E84A9C" w:rsidP="007B194A">
      <w:pPr>
        <w:pStyle w:val="Heading2"/>
      </w:pPr>
      <w:bookmarkStart w:id="12" w:name="_Toc219032130"/>
      <w:bookmarkStart w:id="13" w:name="_Toc219055160"/>
      <w:bookmarkStart w:id="14" w:name="_Toc219106755"/>
      <w:r>
        <w:rPr>
          <w:rFonts w:hint="cs"/>
          <w:rtl/>
        </w:rPr>
        <w:t xml:space="preserve">بررسی </w:t>
      </w:r>
      <w:r w:rsidR="0028177A">
        <w:rPr>
          <w:rFonts w:hint="cs"/>
          <w:rtl/>
        </w:rPr>
        <w:t>اشکالات</w:t>
      </w:r>
      <w:r w:rsidR="007B194A">
        <w:rPr>
          <w:rFonts w:hint="cs"/>
          <w:rtl/>
        </w:rPr>
        <w:t xml:space="preserve"> آقای شهیدی</w:t>
      </w:r>
      <w:bookmarkEnd w:id="12"/>
      <w:bookmarkEnd w:id="13"/>
      <w:bookmarkEnd w:id="14"/>
    </w:p>
    <w:p w14:paraId="2694C35A" w14:textId="0C37AA5F" w:rsidR="007B194A" w:rsidRDefault="007B194A" w:rsidP="002C75ED">
      <w:pPr>
        <w:ind w:firstLine="397"/>
        <w:rPr>
          <w:rFonts w:ascii="IRBadr" w:hAnsi="IRBadr" w:cs="IRBadr"/>
          <w:sz w:val="34"/>
          <w:rtl/>
        </w:rPr>
      </w:pPr>
      <w:r>
        <w:rPr>
          <w:rFonts w:ascii="IRBadr" w:hAnsi="IRBadr" w:cs="IRBadr" w:hint="cs"/>
          <w:sz w:val="34"/>
          <w:rtl/>
        </w:rPr>
        <w:t>آقای شهیدی بیان کرده‌اند که برخی از بزرگان مثل صاحب کفایه و مرحوم امام قائلند که حدیث رفع دال بر اجزا، و حاکم بر ادله اجزاء و شرایط است، و‌ آن ادله را مقیّد به صورت علم می‌کند. بنابراین عمل ناقصی که از جاهل صادر شده مطابق مامور به است و اجزا را به دنبال دارد. ایشان چند اشکال به این سخن بیان کرده است</w:t>
      </w:r>
      <w:r w:rsidR="00213D47">
        <w:rPr>
          <w:rStyle w:val="FootnoteReference"/>
          <w:rFonts w:ascii="IRBadr" w:hAnsi="IRBadr" w:cs="IRBadr"/>
          <w:sz w:val="34"/>
          <w:rtl/>
        </w:rPr>
        <w:footnoteReference w:id="2"/>
      </w:r>
      <w:r>
        <w:rPr>
          <w:rFonts w:ascii="IRBadr" w:hAnsi="IRBadr" w:cs="IRBadr" w:hint="cs"/>
          <w:sz w:val="34"/>
          <w:rtl/>
        </w:rPr>
        <w:t>:</w:t>
      </w:r>
    </w:p>
    <w:p w14:paraId="0B83D854" w14:textId="0F770509" w:rsidR="004C7F31" w:rsidRDefault="007B194A" w:rsidP="001D36A3">
      <w:pPr>
        <w:ind w:firstLine="397"/>
        <w:rPr>
          <w:rFonts w:ascii="IRBadr" w:hAnsi="IRBadr" w:cs="IRBadr"/>
          <w:sz w:val="34"/>
          <w:rtl/>
        </w:rPr>
      </w:pPr>
      <w:r w:rsidRPr="007B194A">
        <w:rPr>
          <w:rFonts w:ascii="IRBadr" w:hAnsi="IRBadr" w:cs="IRBadr" w:hint="cs"/>
          <w:b/>
          <w:bCs/>
          <w:color w:val="FF0000"/>
          <w:sz w:val="34"/>
          <w:rtl/>
        </w:rPr>
        <w:t>اشکال اول:</w:t>
      </w:r>
      <w:r w:rsidRPr="007B194A">
        <w:rPr>
          <w:rFonts w:ascii="IRBadr" w:hAnsi="IRBadr" w:cs="IRBadr" w:hint="cs"/>
          <w:color w:val="FF0000"/>
          <w:sz w:val="34"/>
          <w:rtl/>
        </w:rPr>
        <w:t xml:space="preserve"> </w:t>
      </w:r>
      <w:r>
        <w:rPr>
          <w:rFonts w:ascii="IRBadr" w:hAnsi="IRBadr" w:cs="IRBadr" w:hint="cs"/>
          <w:sz w:val="34"/>
          <w:rtl/>
        </w:rPr>
        <w:t xml:space="preserve">حدیث رفع تنها دال بر رفع مواخذه است. ما نیز این مطلب را پذیرفتیم ولی بیان کردیم که </w:t>
      </w:r>
      <w:r w:rsidR="001D36A3">
        <w:rPr>
          <w:rFonts w:ascii="IRBadr" w:hAnsi="IRBadr" w:cs="IRBadr" w:hint="cs"/>
          <w:sz w:val="34"/>
          <w:rtl/>
        </w:rPr>
        <w:t xml:space="preserve">این مطلب </w:t>
      </w:r>
      <w:r>
        <w:rPr>
          <w:rFonts w:ascii="IRBadr" w:hAnsi="IRBadr" w:cs="IRBadr" w:hint="cs"/>
          <w:sz w:val="34"/>
          <w:rtl/>
        </w:rPr>
        <w:t xml:space="preserve">تنها در </w:t>
      </w:r>
      <w:r w:rsidR="001D36A3">
        <w:rPr>
          <w:rFonts w:ascii="IRBadr" w:hAnsi="IRBadr" w:cs="IRBadr" w:hint="cs"/>
          <w:sz w:val="34"/>
          <w:rtl/>
        </w:rPr>
        <w:t>برخی فقرات مثل</w:t>
      </w:r>
      <w:r>
        <w:rPr>
          <w:rFonts w:ascii="IRBadr" w:hAnsi="IRBadr" w:cs="IRBadr" w:hint="cs"/>
          <w:sz w:val="34"/>
          <w:rtl/>
        </w:rPr>
        <w:t xml:space="preserve"> خطا و نسیان </w:t>
      </w:r>
      <w:r w:rsidR="001D36A3">
        <w:rPr>
          <w:rFonts w:ascii="IRBadr" w:hAnsi="IRBadr" w:cs="IRBadr" w:hint="cs"/>
          <w:sz w:val="34"/>
          <w:rtl/>
        </w:rPr>
        <w:t xml:space="preserve">ثابت است؛ چرا که با توجه به روایات، </w:t>
      </w:r>
      <w:r>
        <w:rPr>
          <w:rFonts w:ascii="IRBadr" w:hAnsi="IRBadr" w:cs="IRBadr" w:hint="cs"/>
          <w:sz w:val="34"/>
          <w:rtl/>
        </w:rPr>
        <w:t>ا</w:t>
      </w:r>
      <w:r w:rsidR="002C75ED">
        <w:rPr>
          <w:rFonts w:ascii="IRBadr" w:hAnsi="IRBadr" w:cs="IRBadr" w:hint="cs"/>
          <w:sz w:val="34"/>
          <w:rtl/>
        </w:rPr>
        <w:t xml:space="preserve">ینکه </w:t>
      </w:r>
      <w:r w:rsidR="001D36A3">
        <w:rPr>
          <w:rFonts w:ascii="IRBadr" w:hAnsi="IRBadr" w:cs="IRBadr" w:hint="cs"/>
          <w:sz w:val="34"/>
          <w:rtl/>
        </w:rPr>
        <w:t xml:space="preserve">حدیث رفع در مورد خطا و نسیان </w:t>
      </w:r>
      <w:r w:rsidR="002C75ED">
        <w:rPr>
          <w:rFonts w:ascii="IRBadr" w:hAnsi="IRBadr" w:cs="IRBadr" w:hint="cs"/>
          <w:sz w:val="34"/>
          <w:rtl/>
        </w:rPr>
        <w:t>دال بر امری بیش از مفاد دعای پیامبر ص باشد چندان روشن نیست و قدر متیقن از آن رفع مواخذه است. همچنین</w:t>
      </w:r>
      <w:r w:rsidR="001D36A3">
        <w:rPr>
          <w:rFonts w:ascii="IRBadr" w:hAnsi="IRBadr" w:cs="IRBadr" w:hint="cs"/>
          <w:sz w:val="34"/>
          <w:rtl/>
        </w:rPr>
        <w:t xml:space="preserve"> فقراتی که شبیه به آن دو است؛ مثل</w:t>
      </w:r>
      <w:r w:rsidR="002C75ED">
        <w:rPr>
          <w:rFonts w:ascii="IRBadr" w:hAnsi="IRBadr" w:cs="IRBadr" w:hint="cs"/>
          <w:sz w:val="34"/>
          <w:rtl/>
        </w:rPr>
        <w:t xml:space="preserve"> ما اضطرّوا الیه و حسد و وسوسه</w:t>
      </w:r>
      <w:r w:rsidR="00697FCE">
        <w:rPr>
          <w:rFonts w:ascii="IRBadr" w:hAnsi="IRBadr" w:cs="IRBadr" w:hint="cs"/>
          <w:sz w:val="34"/>
          <w:rtl/>
        </w:rPr>
        <w:t>؛ چرا که این امور از مواردی است که قبلا واقع شده است.</w:t>
      </w:r>
      <w:r w:rsidR="002C75ED">
        <w:rPr>
          <w:rFonts w:ascii="IRBadr" w:hAnsi="IRBadr" w:cs="IRBadr" w:hint="cs"/>
          <w:sz w:val="34"/>
          <w:rtl/>
        </w:rPr>
        <w:t xml:space="preserve"> بیان شد که بین رفع عمل واقع شده و رفع ماهیت عمل تفاوت است. رفع عمل واقع شده به معنای رفع </w:t>
      </w:r>
      <w:r w:rsidR="00580211">
        <w:rPr>
          <w:rFonts w:ascii="IRBadr" w:hAnsi="IRBadr" w:cs="IRBadr" w:hint="cs"/>
          <w:sz w:val="34"/>
          <w:rtl/>
        </w:rPr>
        <w:t>مواخذه</w:t>
      </w:r>
      <w:r w:rsidR="002C75ED">
        <w:rPr>
          <w:rFonts w:ascii="IRBadr" w:hAnsi="IRBadr" w:cs="IRBadr" w:hint="cs"/>
          <w:sz w:val="34"/>
          <w:rtl/>
        </w:rPr>
        <w:t xml:space="preserve"> است</w:t>
      </w:r>
      <w:r w:rsidR="00580211">
        <w:rPr>
          <w:rFonts w:ascii="IRBadr" w:hAnsi="IRBadr" w:cs="IRBadr" w:hint="cs"/>
          <w:sz w:val="34"/>
          <w:rtl/>
        </w:rPr>
        <w:t>، و ظهور در رفع مطلق تبعه -و لو آنکه از سنخ مواخذه نباشد- ندارد،</w:t>
      </w:r>
      <w:r w:rsidR="002C75ED">
        <w:rPr>
          <w:rFonts w:ascii="IRBadr" w:hAnsi="IRBadr" w:cs="IRBadr" w:hint="cs"/>
          <w:sz w:val="34"/>
          <w:rtl/>
        </w:rPr>
        <w:t xml:space="preserve"> ولی در مواردی که رفع به عمل واقع نشده تعلق گرفته -مثل </w:t>
      </w:r>
      <w:r w:rsidR="00580211">
        <w:rPr>
          <w:rFonts w:ascii="IRBadr" w:hAnsi="IRBadr" w:cs="IRBadr" w:hint="cs"/>
          <w:sz w:val="34"/>
          <w:rtl/>
        </w:rPr>
        <w:t>«</w:t>
      </w:r>
      <w:r w:rsidR="002C75ED">
        <w:rPr>
          <w:rFonts w:ascii="IRBadr" w:hAnsi="IRBadr" w:cs="IRBadr" w:hint="cs"/>
          <w:sz w:val="34"/>
          <w:rtl/>
        </w:rPr>
        <w:t>ما لا یطیقون</w:t>
      </w:r>
      <w:r w:rsidR="00580211">
        <w:rPr>
          <w:rFonts w:ascii="IRBadr" w:hAnsi="IRBadr" w:cs="IRBadr" w:hint="cs"/>
          <w:sz w:val="34"/>
          <w:rtl/>
        </w:rPr>
        <w:t>»</w:t>
      </w:r>
      <w:r w:rsidR="002C75ED">
        <w:rPr>
          <w:rFonts w:ascii="IRBadr" w:hAnsi="IRBadr" w:cs="IRBadr" w:hint="cs"/>
          <w:sz w:val="34"/>
          <w:rtl/>
        </w:rPr>
        <w:t xml:space="preserve"> و </w:t>
      </w:r>
      <w:r w:rsidR="00580211">
        <w:rPr>
          <w:rFonts w:ascii="IRBadr" w:hAnsi="IRBadr" w:cs="IRBadr" w:hint="cs"/>
          <w:sz w:val="34"/>
          <w:rtl/>
        </w:rPr>
        <w:t>«</w:t>
      </w:r>
      <w:r w:rsidR="002C75ED">
        <w:rPr>
          <w:rFonts w:ascii="IRBadr" w:hAnsi="IRBadr" w:cs="IRBadr" w:hint="cs"/>
          <w:sz w:val="34"/>
          <w:rtl/>
        </w:rPr>
        <w:t>ما لا یعلمون</w:t>
      </w:r>
      <w:r w:rsidR="00580211">
        <w:rPr>
          <w:rFonts w:ascii="IRBadr" w:hAnsi="IRBadr" w:cs="IRBadr" w:hint="cs"/>
          <w:sz w:val="34"/>
          <w:rtl/>
        </w:rPr>
        <w:t>»</w:t>
      </w:r>
      <w:r w:rsidR="002C75ED">
        <w:rPr>
          <w:rFonts w:ascii="IRBadr" w:hAnsi="IRBadr" w:cs="IRBadr" w:hint="cs"/>
          <w:sz w:val="34"/>
          <w:rtl/>
        </w:rPr>
        <w:t>- نمی‌توان مراد از رفع را، مواخذه دانست</w:t>
      </w:r>
      <w:r w:rsidR="00580211">
        <w:rPr>
          <w:rFonts w:ascii="IRBadr" w:hAnsi="IRBadr" w:cs="IRBadr" w:hint="cs"/>
          <w:sz w:val="34"/>
          <w:rtl/>
        </w:rPr>
        <w:t>، و سیاق هم قرینیت ندارد؛ چرا که سیاق آنها متفاوت است؛</w:t>
      </w:r>
      <w:r w:rsidR="002C75ED">
        <w:rPr>
          <w:rFonts w:ascii="IRBadr" w:hAnsi="IRBadr" w:cs="IRBadr" w:hint="cs"/>
          <w:sz w:val="34"/>
          <w:rtl/>
        </w:rPr>
        <w:t xml:space="preserve"> بنابراین </w:t>
      </w:r>
      <w:r w:rsidR="00580211">
        <w:rPr>
          <w:rFonts w:ascii="IRBadr" w:hAnsi="IRBadr" w:cs="IRBadr" w:hint="cs"/>
          <w:sz w:val="34"/>
          <w:rtl/>
        </w:rPr>
        <w:t>«</w:t>
      </w:r>
      <w:r w:rsidR="002C75ED">
        <w:rPr>
          <w:rFonts w:ascii="IRBadr" w:hAnsi="IRBadr" w:cs="IRBadr" w:hint="cs"/>
          <w:sz w:val="34"/>
          <w:rtl/>
        </w:rPr>
        <w:t>رفع ما لا یعلمون</w:t>
      </w:r>
      <w:r w:rsidR="00580211">
        <w:rPr>
          <w:rFonts w:ascii="IRBadr" w:hAnsi="IRBadr" w:cs="IRBadr" w:hint="cs"/>
          <w:sz w:val="34"/>
          <w:rtl/>
        </w:rPr>
        <w:t>»</w:t>
      </w:r>
      <w:r w:rsidR="002C75ED">
        <w:rPr>
          <w:rFonts w:ascii="IRBadr" w:hAnsi="IRBadr" w:cs="IRBadr" w:hint="cs"/>
          <w:sz w:val="34"/>
          <w:rtl/>
        </w:rPr>
        <w:t xml:space="preserve"> بدین معنی است که الزام بر امر مجهول مرفوع است</w:t>
      </w:r>
      <w:r w:rsidR="00580211">
        <w:rPr>
          <w:rFonts w:ascii="IRBadr" w:hAnsi="IRBadr" w:cs="IRBadr" w:hint="cs"/>
          <w:sz w:val="34"/>
          <w:rtl/>
        </w:rPr>
        <w:t xml:space="preserve">؛ بنابراین بیان مرحوم آخوند و مرحوم امام در </w:t>
      </w:r>
      <w:r w:rsidR="00580211">
        <w:rPr>
          <w:rFonts w:ascii="IRBadr" w:hAnsi="IRBadr" w:cs="IRBadr" w:hint="cs"/>
          <w:sz w:val="34"/>
          <w:rtl/>
        </w:rPr>
        <w:lastRenderedPageBreak/>
        <w:t>مورد آن ثابت می‌شود. نتیجه آنکه بیان آقای شهیدی در فقره «ما لا یعلمون» جاری نیست، هرچند در مورد عمل ناسی صحیح است، و نمی‌توان برای اثبات کفایت عمل ناسی به حدیث رفع تمسک نمود.</w:t>
      </w:r>
    </w:p>
    <w:p w14:paraId="27BF34C8" w14:textId="59454270" w:rsidR="002C75ED" w:rsidRDefault="002C75ED" w:rsidP="002C75ED">
      <w:pPr>
        <w:ind w:firstLine="397"/>
        <w:rPr>
          <w:rFonts w:ascii="IRBadr" w:hAnsi="IRBadr" w:cs="IRBadr"/>
          <w:sz w:val="34"/>
          <w:rtl/>
        </w:rPr>
      </w:pPr>
      <w:r w:rsidRPr="008845DA">
        <w:rPr>
          <w:rFonts w:ascii="IRBadr" w:hAnsi="IRBadr" w:cs="IRBadr" w:hint="cs"/>
          <w:b/>
          <w:bCs/>
          <w:color w:val="FF0000"/>
          <w:sz w:val="34"/>
          <w:rtl/>
        </w:rPr>
        <w:t>اشکال دوم</w:t>
      </w:r>
      <w:r w:rsidR="008845DA">
        <w:rPr>
          <w:rFonts w:ascii="IRBadr" w:hAnsi="IRBadr" w:cs="IRBadr" w:hint="cs"/>
          <w:b/>
          <w:bCs/>
          <w:color w:val="FF0000"/>
          <w:sz w:val="34"/>
          <w:rtl/>
        </w:rPr>
        <w:t>:</w:t>
      </w:r>
      <w:r w:rsidRPr="008845DA">
        <w:rPr>
          <w:rFonts w:ascii="IRBadr" w:hAnsi="IRBadr" w:cs="IRBadr" w:hint="cs"/>
          <w:color w:val="FF0000"/>
          <w:sz w:val="34"/>
          <w:rtl/>
        </w:rPr>
        <w:t xml:space="preserve"> </w:t>
      </w:r>
      <w:r>
        <w:rPr>
          <w:rFonts w:ascii="IRBadr" w:hAnsi="IRBadr" w:cs="IRBadr" w:hint="cs"/>
          <w:sz w:val="34"/>
          <w:rtl/>
        </w:rPr>
        <w:t>رفع مزبور رفعی واقعی نیست بلکه رفع ظاهری است. اشکال اصلی کلام آخوند و مرحوم امام همین اشکال است. بر این اساس، حدیث رفع ناظر به تقیید حکم واقعی به صورت علم نیست؛ بلکه نافی الزام</w:t>
      </w:r>
      <w:r w:rsidR="008845DA">
        <w:rPr>
          <w:rFonts w:ascii="IRBadr" w:hAnsi="IRBadr" w:cs="IRBadr" w:hint="cs"/>
          <w:sz w:val="34"/>
          <w:rtl/>
        </w:rPr>
        <w:t xml:space="preserve"> به حکم واقعی به نحو</w:t>
      </w:r>
      <w:r>
        <w:rPr>
          <w:rFonts w:ascii="IRBadr" w:hAnsi="IRBadr" w:cs="IRBadr" w:hint="cs"/>
          <w:sz w:val="34"/>
          <w:rtl/>
        </w:rPr>
        <w:t xml:space="preserve"> احتیاط در فرض جهل است؛ بنابراین حکم واقعی موجود در صورت جهل</w:t>
      </w:r>
      <w:r w:rsidR="0028177A">
        <w:rPr>
          <w:rFonts w:ascii="IRBadr" w:hAnsi="IRBadr" w:cs="IRBadr" w:hint="cs"/>
          <w:sz w:val="34"/>
          <w:rtl/>
        </w:rPr>
        <w:t>،</w:t>
      </w:r>
      <w:r>
        <w:rPr>
          <w:rFonts w:ascii="IRBadr" w:hAnsi="IRBadr" w:cs="IRBadr" w:hint="cs"/>
          <w:sz w:val="34"/>
          <w:rtl/>
        </w:rPr>
        <w:t xml:space="preserve"> اقتضای اعاده و قضا دارد.</w:t>
      </w:r>
    </w:p>
    <w:p w14:paraId="0800CDA7" w14:textId="563FB9AF" w:rsidR="002C75ED" w:rsidRDefault="002C75ED" w:rsidP="00DB6D0E">
      <w:pPr>
        <w:ind w:firstLine="397"/>
        <w:rPr>
          <w:rFonts w:ascii="IRBadr" w:hAnsi="IRBadr" w:cs="IRBadr"/>
          <w:sz w:val="34"/>
          <w:rtl/>
        </w:rPr>
      </w:pPr>
      <w:r w:rsidRPr="0028177A">
        <w:rPr>
          <w:rFonts w:ascii="IRBadr" w:hAnsi="IRBadr" w:cs="IRBadr" w:hint="cs"/>
          <w:b/>
          <w:bCs/>
          <w:color w:val="FF0000"/>
          <w:sz w:val="34"/>
          <w:rtl/>
        </w:rPr>
        <w:t>اشکال سوم</w:t>
      </w:r>
      <w:r>
        <w:rPr>
          <w:rFonts w:ascii="IRBadr" w:hAnsi="IRBadr" w:cs="IRBadr" w:hint="cs"/>
          <w:sz w:val="34"/>
          <w:rtl/>
        </w:rPr>
        <w:t>: حدیث رفع، رافع امر ثقیل از ذمه است و جزئیت و شرطیت ثقلی ندارد تا رفع شود</w:t>
      </w:r>
      <w:r w:rsidR="00DB6D0E">
        <w:rPr>
          <w:rFonts w:ascii="IRBadr" w:hAnsi="IRBadr" w:cs="IRBadr" w:hint="cs"/>
          <w:sz w:val="34"/>
          <w:rtl/>
        </w:rPr>
        <w:t xml:space="preserve">؛ چرا که جزئیت از یک قضیه شرطیه انتزاع می‌شود: «اگر نماز واجب باشد، وجوب به نماز </w:t>
      </w:r>
      <w:r w:rsidR="001C71CA">
        <w:rPr>
          <w:rFonts w:ascii="IRBadr" w:hAnsi="IRBadr" w:cs="IRBadr" w:hint="cs"/>
          <w:sz w:val="34"/>
          <w:rtl/>
        </w:rPr>
        <w:t xml:space="preserve">به همراه سوره، </w:t>
      </w:r>
      <w:r w:rsidR="00DB6D0E">
        <w:rPr>
          <w:rFonts w:ascii="IRBadr" w:hAnsi="IRBadr" w:cs="IRBadr" w:hint="cs"/>
          <w:sz w:val="34"/>
          <w:rtl/>
        </w:rPr>
        <w:t xml:space="preserve">تعلق گرفته است». جزئیت با عدم امر فعلی قابل جمع است؛ </w:t>
      </w:r>
      <w:r>
        <w:rPr>
          <w:rFonts w:ascii="IRBadr" w:hAnsi="IRBadr" w:cs="IRBadr" w:hint="cs"/>
          <w:sz w:val="34"/>
          <w:rtl/>
        </w:rPr>
        <w:t xml:space="preserve"> </w:t>
      </w:r>
      <w:r w:rsidR="0028177A">
        <w:rPr>
          <w:rFonts w:ascii="IRBadr" w:hAnsi="IRBadr" w:cs="IRBadr" w:hint="cs"/>
          <w:sz w:val="34"/>
          <w:rtl/>
        </w:rPr>
        <w:t xml:space="preserve">مثلا </w:t>
      </w:r>
      <w:r w:rsidR="00DB6D0E">
        <w:rPr>
          <w:rFonts w:ascii="IRBadr" w:hAnsi="IRBadr" w:cs="IRBadr" w:hint="cs"/>
          <w:sz w:val="34"/>
          <w:rtl/>
        </w:rPr>
        <w:t xml:space="preserve">اگر </w:t>
      </w:r>
      <w:r>
        <w:rPr>
          <w:rFonts w:ascii="IRBadr" w:hAnsi="IRBadr" w:cs="IRBadr" w:hint="cs"/>
          <w:sz w:val="34"/>
          <w:rtl/>
        </w:rPr>
        <w:t xml:space="preserve">سوره حتی در فرض عجز از اتیان </w:t>
      </w:r>
      <w:r w:rsidR="0028177A">
        <w:rPr>
          <w:rFonts w:ascii="IRBadr" w:hAnsi="IRBadr" w:cs="IRBadr" w:hint="cs"/>
          <w:sz w:val="34"/>
          <w:rtl/>
        </w:rPr>
        <w:t xml:space="preserve">به آن </w:t>
      </w:r>
      <w:r>
        <w:rPr>
          <w:rFonts w:ascii="IRBadr" w:hAnsi="IRBadr" w:cs="IRBadr" w:hint="cs"/>
          <w:sz w:val="34"/>
          <w:rtl/>
        </w:rPr>
        <w:t xml:space="preserve">جزئیت داشته باشد، نماز در فرض </w:t>
      </w:r>
      <w:r w:rsidR="0028177A">
        <w:rPr>
          <w:rFonts w:ascii="IRBadr" w:hAnsi="IRBadr" w:cs="IRBadr" w:hint="cs"/>
          <w:sz w:val="34"/>
          <w:rtl/>
        </w:rPr>
        <w:t xml:space="preserve">عجز </w:t>
      </w:r>
      <w:r>
        <w:rPr>
          <w:rFonts w:ascii="IRBadr" w:hAnsi="IRBadr" w:cs="IRBadr" w:hint="cs"/>
          <w:sz w:val="34"/>
          <w:rtl/>
        </w:rPr>
        <w:t>ساقط می‌شود.</w:t>
      </w:r>
      <w:r w:rsidR="00DB6D0E">
        <w:rPr>
          <w:rFonts w:ascii="IRBadr" w:hAnsi="IRBadr" w:cs="IRBadr" w:hint="cs"/>
          <w:sz w:val="34"/>
          <w:rtl/>
        </w:rPr>
        <w:t xml:space="preserve"> در این فرض، جزئیت وجود دارد با وجود آنکه اصلا امری در بین نیست.</w:t>
      </w:r>
      <w:r>
        <w:rPr>
          <w:rFonts w:ascii="IRBadr" w:hAnsi="IRBadr" w:cs="IRBadr" w:hint="cs"/>
          <w:sz w:val="34"/>
          <w:rtl/>
        </w:rPr>
        <w:t xml:space="preserve"> </w:t>
      </w:r>
    </w:p>
    <w:p w14:paraId="53F97716" w14:textId="61B7E425" w:rsidR="00DA628F" w:rsidRDefault="00F22CD0" w:rsidP="006D4CD1">
      <w:pPr>
        <w:ind w:firstLine="397"/>
        <w:rPr>
          <w:rFonts w:ascii="IRBadr" w:hAnsi="IRBadr" w:cs="IRBadr"/>
          <w:sz w:val="34"/>
          <w:rtl/>
        </w:rPr>
      </w:pPr>
      <w:r>
        <w:rPr>
          <w:rFonts w:ascii="IRBadr" w:hAnsi="IRBadr" w:cs="IRBadr" w:hint="cs"/>
          <w:sz w:val="34"/>
          <w:rtl/>
        </w:rPr>
        <w:t xml:space="preserve">به نظر ما </w:t>
      </w:r>
      <w:r w:rsidR="002C75ED">
        <w:rPr>
          <w:rFonts w:ascii="IRBadr" w:hAnsi="IRBadr" w:cs="IRBadr" w:hint="cs"/>
          <w:sz w:val="34"/>
          <w:rtl/>
        </w:rPr>
        <w:t xml:space="preserve">این اشکال وارد نیست؛ چرا که </w:t>
      </w:r>
      <w:r w:rsidR="00EC3525">
        <w:rPr>
          <w:rFonts w:ascii="IRBadr" w:hAnsi="IRBadr" w:cs="IRBadr" w:hint="cs"/>
          <w:sz w:val="34"/>
          <w:rtl/>
        </w:rPr>
        <w:t xml:space="preserve">مراد، </w:t>
      </w:r>
      <w:r w:rsidR="002C75ED">
        <w:rPr>
          <w:rFonts w:ascii="IRBadr" w:hAnsi="IRBadr" w:cs="IRBadr" w:hint="cs"/>
          <w:sz w:val="34"/>
          <w:rtl/>
        </w:rPr>
        <w:t xml:space="preserve">نفی جزئیت و شرطیت نیست؛‌ بلکه خود جزء و شرط نفی </w:t>
      </w:r>
      <w:r w:rsidR="00EC3525">
        <w:rPr>
          <w:rFonts w:ascii="IRBadr" w:hAnsi="IRBadr" w:cs="IRBadr" w:hint="cs"/>
          <w:sz w:val="34"/>
          <w:rtl/>
        </w:rPr>
        <w:t>می‌شود</w:t>
      </w:r>
      <w:r w:rsidR="002C75ED">
        <w:rPr>
          <w:rFonts w:ascii="IRBadr" w:hAnsi="IRBadr" w:cs="IRBadr" w:hint="cs"/>
          <w:sz w:val="34"/>
          <w:rtl/>
        </w:rPr>
        <w:t>. قیاس جاهل با عاجز</w:t>
      </w:r>
      <w:r>
        <w:rPr>
          <w:rFonts w:ascii="IRBadr" w:hAnsi="IRBadr" w:cs="IRBadr" w:hint="cs"/>
          <w:sz w:val="34"/>
          <w:rtl/>
        </w:rPr>
        <w:t>، قیاسی</w:t>
      </w:r>
      <w:r w:rsidR="002C75ED">
        <w:rPr>
          <w:rFonts w:ascii="IRBadr" w:hAnsi="IRBadr" w:cs="IRBadr" w:hint="cs"/>
          <w:sz w:val="34"/>
          <w:rtl/>
        </w:rPr>
        <w:t xml:space="preserve"> مع الفارق است. اگر جزئیت برای جاهل وجود داشته باشد معنایش آن است که واجب واقعی همراه با جزء است</w:t>
      </w:r>
      <w:r>
        <w:rPr>
          <w:rFonts w:ascii="IRBadr" w:hAnsi="IRBadr" w:cs="IRBadr" w:hint="cs"/>
          <w:sz w:val="34"/>
          <w:rtl/>
        </w:rPr>
        <w:t>؛ بنابراین نماز باید همراه با جزء اتیان شود</w:t>
      </w:r>
      <w:r w:rsidR="002C75ED">
        <w:rPr>
          <w:rFonts w:ascii="IRBadr" w:hAnsi="IRBadr" w:cs="IRBadr" w:hint="cs"/>
          <w:sz w:val="34"/>
          <w:rtl/>
        </w:rPr>
        <w:t xml:space="preserve">. به بیان دیگر </w:t>
      </w:r>
      <w:r w:rsidR="00532805">
        <w:rPr>
          <w:rFonts w:ascii="IRBadr" w:hAnsi="IRBadr" w:cs="IRBadr" w:hint="cs"/>
          <w:sz w:val="34"/>
          <w:rtl/>
        </w:rPr>
        <w:t xml:space="preserve">اصلا نباید </w:t>
      </w:r>
      <w:r w:rsidR="002C75ED">
        <w:rPr>
          <w:rFonts w:ascii="IRBadr" w:hAnsi="IRBadr" w:cs="IRBadr" w:hint="cs"/>
          <w:sz w:val="34"/>
          <w:rtl/>
        </w:rPr>
        <w:t xml:space="preserve">از جزئیت و شرطیت سخن به میان </w:t>
      </w:r>
      <w:r w:rsidR="00532805">
        <w:rPr>
          <w:rFonts w:ascii="IRBadr" w:hAnsi="IRBadr" w:cs="IRBadr" w:hint="cs"/>
          <w:sz w:val="34"/>
          <w:rtl/>
        </w:rPr>
        <w:t>آورد</w:t>
      </w:r>
      <w:r w:rsidR="002C75ED">
        <w:rPr>
          <w:rFonts w:ascii="IRBadr" w:hAnsi="IRBadr" w:cs="IRBadr" w:hint="cs"/>
          <w:sz w:val="34"/>
          <w:rtl/>
        </w:rPr>
        <w:t>. همینکه مکلف نمی‌داند در ظرف شک،</w:t>
      </w:r>
      <w:r w:rsidR="00532805">
        <w:rPr>
          <w:rFonts w:ascii="IRBadr" w:hAnsi="IRBadr" w:cs="IRBadr" w:hint="cs"/>
          <w:sz w:val="34"/>
          <w:rtl/>
        </w:rPr>
        <w:t xml:space="preserve"> یک</w:t>
      </w:r>
      <w:r w:rsidR="002C75ED">
        <w:rPr>
          <w:rFonts w:ascii="IRBadr" w:hAnsi="IRBadr" w:cs="IRBadr" w:hint="cs"/>
          <w:sz w:val="34"/>
          <w:rtl/>
        </w:rPr>
        <w:t xml:space="preserve"> جز</w:t>
      </w:r>
      <w:r w:rsidR="00532805">
        <w:rPr>
          <w:rFonts w:ascii="IRBadr" w:hAnsi="IRBadr" w:cs="IRBadr" w:hint="cs"/>
          <w:sz w:val="34"/>
          <w:rtl/>
        </w:rPr>
        <w:t>ء</w:t>
      </w:r>
      <w:r w:rsidR="002C75ED">
        <w:rPr>
          <w:rFonts w:ascii="IRBadr" w:hAnsi="IRBadr" w:cs="IRBadr" w:hint="cs"/>
          <w:sz w:val="34"/>
          <w:rtl/>
        </w:rPr>
        <w:t xml:space="preserve"> واجب است، </w:t>
      </w:r>
      <w:r w:rsidR="00C57970">
        <w:rPr>
          <w:rFonts w:ascii="IRBadr" w:hAnsi="IRBadr" w:cs="IRBadr" w:hint="cs"/>
          <w:sz w:val="34"/>
          <w:rtl/>
        </w:rPr>
        <w:t>اتیان به آن جزء</w:t>
      </w:r>
      <w:r w:rsidR="002C75ED">
        <w:rPr>
          <w:rFonts w:ascii="IRBadr" w:hAnsi="IRBadr" w:cs="IRBadr" w:hint="cs"/>
          <w:sz w:val="34"/>
          <w:rtl/>
        </w:rPr>
        <w:t xml:space="preserve">، خود امری ثقیل است، و رفع آن هم رفع امر ثقیل است. </w:t>
      </w:r>
      <w:r w:rsidR="00EA46E0">
        <w:rPr>
          <w:rFonts w:ascii="IRBadr" w:hAnsi="IRBadr" w:cs="IRBadr" w:hint="cs"/>
          <w:sz w:val="34"/>
          <w:rtl/>
        </w:rPr>
        <w:t>اینکه شارع بیان کند حتی در صورت جهل، احتیاط کنید، این ثقل بر مکلف است. معنای لزوم اتیان به جزء در حال جهل، احتیاط است، و احتیاط ثقیل است.</w:t>
      </w:r>
      <w:r w:rsidR="00213D47">
        <w:rPr>
          <w:rFonts w:ascii="IRBadr" w:hAnsi="IRBadr" w:cs="IRBadr" w:hint="cs"/>
          <w:sz w:val="34"/>
          <w:rtl/>
        </w:rPr>
        <w:t xml:space="preserve"> </w:t>
      </w:r>
      <w:r w:rsidR="00834595">
        <w:rPr>
          <w:rFonts w:ascii="IRBadr" w:hAnsi="IRBadr" w:cs="IRBadr" w:hint="cs"/>
          <w:sz w:val="34"/>
          <w:rtl/>
        </w:rPr>
        <w:t>اطلاق ادله نسبت به سایر اجزای نماز، اقتضا دارد که نماز اتیان شده بدون سوره صحیح باشد. یعنی سوره واجب نیست، ولی رکوع و سجود و قیام و تشهد و دیگر اجزا واجب است؛ نتیجه آن می‌شود که مامور به</w:t>
      </w:r>
      <w:r w:rsidR="006D4CD1">
        <w:rPr>
          <w:rFonts w:ascii="IRBadr" w:hAnsi="IRBadr" w:cs="IRBadr" w:hint="cs"/>
          <w:sz w:val="34"/>
          <w:rtl/>
        </w:rPr>
        <w:t xml:space="preserve">، نماز فاقد سوره است. </w:t>
      </w:r>
      <w:r w:rsidR="00DA628F">
        <w:rPr>
          <w:rFonts w:ascii="IRBadr" w:hAnsi="IRBadr" w:cs="IRBadr" w:hint="cs"/>
          <w:sz w:val="34"/>
          <w:rtl/>
        </w:rPr>
        <w:t>در مورد شرط نیز چنین است. شخصی که در وجوب وضو برای نماز شک داشته باشد</w:t>
      </w:r>
      <w:r w:rsidR="006D4CD1">
        <w:rPr>
          <w:rFonts w:ascii="IRBadr" w:hAnsi="IRBadr" w:cs="IRBadr" w:hint="cs"/>
          <w:sz w:val="34"/>
          <w:rtl/>
        </w:rPr>
        <w:t>؛</w:t>
      </w:r>
      <w:r w:rsidR="00DA628F">
        <w:rPr>
          <w:rFonts w:ascii="IRBadr" w:hAnsi="IRBadr" w:cs="IRBadr" w:hint="cs"/>
          <w:sz w:val="34"/>
          <w:rtl/>
        </w:rPr>
        <w:t xml:space="preserve"> حدیث رفع آن وجوب را برمی‌دارد.</w:t>
      </w:r>
      <w:r w:rsidR="006D4CD1">
        <w:rPr>
          <w:rFonts w:ascii="IRBadr" w:hAnsi="IRBadr" w:cs="IRBadr" w:hint="cs"/>
          <w:sz w:val="34"/>
          <w:rtl/>
        </w:rPr>
        <w:t xml:space="preserve"> جاهل با عاجز تفاوت دارد.</w:t>
      </w:r>
      <w:r w:rsidR="00DA628F">
        <w:rPr>
          <w:rFonts w:ascii="IRBadr" w:hAnsi="IRBadr" w:cs="IRBadr" w:hint="cs"/>
          <w:sz w:val="34"/>
          <w:rtl/>
        </w:rPr>
        <w:t xml:space="preserve"> در مورد عاجز</w:t>
      </w:r>
      <w:r w:rsidR="006D4CD1">
        <w:rPr>
          <w:rFonts w:ascii="IRBadr" w:hAnsi="IRBadr" w:cs="IRBadr" w:hint="cs"/>
          <w:sz w:val="34"/>
          <w:rtl/>
        </w:rPr>
        <w:t>،</w:t>
      </w:r>
      <w:r w:rsidR="00DA628F">
        <w:rPr>
          <w:rFonts w:ascii="IRBadr" w:hAnsi="IRBadr" w:cs="IRBadr" w:hint="cs"/>
          <w:sz w:val="34"/>
          <w:rtl/>
        </w:rPr>
        <w:t xml:space="preserve"> احتیاط بی‌معنی است، و نباید آن را با جاهل مقایسه کرد</w:t>
      </w:r>
      <w:r w:rsidR="006D4CD1">
        <w:rPr>
          <w:rFonts w:ascii="IRBadr" w:hAnsi="IRBadr" w:cs="IRBadr" w:hint="cs"/>
          <w:sz w:val="34"/>
          <w:rtl/>
        </w:rPr>
        <w:t xml:space="preserve"> که احتیاط در مورد وی ممکن است.</w:t>
      </w:r>
      <w:r w:rsidR="00743F72">
        <w:rPr>
          <w:rFonts w:ascii="IRBadr" w:hAnsi="IRBadr" w:cs="IRBadr" w:hint="cs"/>
          <w:sz w:val="34"/>
          <w:rtl/>
        </w:rPr>
        <w:t xml:space="preserve"> لازمه اطلاق جزئیت و شرطیت در فرض جهل، احتیاط است، ولی در فرض عجز، لازمه‌اش ارتفاع حکم از مجموع است.</w:t>
      </w:r>
    </w:p>
    <w:p w14:paraId="6D224137" w14:textId="0552BD7A" w:rsidR="00DA628F" w:rsidRDefault="00DA628F" w:rsidP="002C75ED">
      <w:pPr>
        <w:ind w:firstLine="397"/>
        <w:rPr>
          <w:rFonts w:ascii="IRBadr" w:hAnsi="IRBadr" w:cs="IRBadr"/>
          <w:sz w:val="34"/>
          <w:rtl/>
        </w:rPr>
      </w:pPr>
      <w:r w:rsidRPr="00743F72">
        <w:rPr>
          <w:rFonts w:ascii="IRBadr" w:hAnsi="IRBadr" w:cs="IRBadr" w:hint="cs"/>
          <w:bCs/>
          <w:color w:val="FF0000"/>
          <w:sz w:val="34"/>
          <w:rtl/>
        </w:rPr>
        <w:t>اشکال چهارم:</w:t>
      </w:r>
      <w:r w:rsidRPr="00743F72">
        <w:rPr>
          <w:rFonts w:ascii="IRBadr" w:hAnsi="IRBadr" w:cs="IRBadr" w:hint="cs"/>
          <w:color w:val="FF0000"/>
          <w:sz w:val="34"/>
          <w:rtl/>
        </w:rPr>
        <w:t xml:space="preserve"> </w:t>
      </w:r>
      <w:r>
        <w:rPr>
          <w:rFonts w:ascii="IRBadr" w:hAnsi="IRBadr" w:cs="IRBadr" w:hint="cs"/>
          <w:sz w:val="34"/>
          <w:rtl/>
        </w:rPr>
        <w:t>دلالت حدیث رفع بر ا</w:t>
      </w:r>
      <w:r w:rsidR="00D10727">
        <w:rPr>
          <w:rFonts w:ascii="IRBadr" w:hAnsi="IRBadr" w:cs="IRBadr" w:hint="cs"/>
          <w:sz w:val="34"/>
          <w:rtl/>
        </w:rPr>
        <w:t>ِ</w:t>
      </w:r>
      <w:r>
        <w:rPr>
          <w:rFonts w:ascii="IRBadr" w:hAnsi="IRBadr" w:cs="IRBadr" w:hint="cs"/>
          <w:sz w:val="34"/>
          <w:rtl/>
        </w:rPr>
        <w:t>جزاء، اخص از مدعی است، و دست کم باید ارکان نماز را تخصیص زد؛ چرا که حدیث «لا تعاد» دال بر وجوب اعاده در برخی موارد است. این اشکال وارد است. آقای شهیدی در مورد برخی دیگر از ادله نیز این اشکال را مطرح کرده‌اند. از این رو بحث از حدیث «لا تعاد» تعیین‌کننده است</w:t>
      </w:r>
      <w:r w:rsidR="00D10727">
        <w:rPr>
          <w:rFonts w:ascii="IRBadr" w:hAnsi="IRBadr" w:cs="IRBadr" w:hint="cs"/>
          <w:sz w:val="34"/>
          <w:rtl/>
        </w:rPr>
        <w:t>، و</w:t>
      </w:r>
      <w:r>
        <w:rPr>
          <w:rFonts w:ascii="IRBadr" w:hAnsi="IRBadr" w:cs="IRBadr" w:hint="cs"/>
          <w:sz w:val="34"/>
          <w:rtl/>
        </w:rPr>
        <w:t xml:space="preserve"> باید از مفاد این حدیث و نسبتش با حدیث رفع و حدیث عبد الصمد بن بشیر </w:t>
      </w:r>
      <w:r w:rsidR="00D72B42">
        <w:rPr>
          <w:rFonts w:ascii="IRBadr" w:hAnsi="IRBadr" w:cs="IRBadr" w:hint="cs"/>
          <w:sz w:val="34"/>
          <w:rtl/>
        </w:rPr>
        <w:t>بحث کرد.</w:t>
      </w:r>
    </w:p>
    <w:p w14:paraId="001FCC73" w14:textId="472220F8" w:rsidR="00D72B42" w:rsidRDefault="00D72B42" w:rsidP="00A92961">
      <w:pPr>
        <w:pStyle w:val="Heading1"/>
        <w:rPr>
          <w:rtl/>
        </w:rPr>
      </w:pPr>
      <w:bookmarkStart w:id="15" w:name="_Toc219032131"/>
      <w:bookmarkStart w:id="16" w:name="_Toc219055161"/>
      <w:bookmarkStart w:id="17" w:name="_Toc219106756"/>
      <w:r>
        <w:rPr>
          <w:rFonts w:hint="cs"/>
          <w:rtl/>
        </w:rPr>
        <w:t>حدیث «لا تعاد»</w:t>
      </w:r>
      <w:bookmarkEnd w:id="15"/>
      <w:bookmarkEnd w:id="16"/>
      <w:bookmarkEnd w:id="17"/>
    </w:p>
    <w:p w14:paraId="0357AC67" w14:textId="6640FE2D" w:rsidR="00D72B42" w:rsidRDefault="00D72B42" w:rsidP="002C75ED">
      <w:pPr>
        <w:ind w:firstLine="397"/>
        <w:rPr>
          <w:rFonts w:ascii="IRBadr" w:hAnsi="IRBadr" w:cs="IRBadr"/>
          <w:sz w:val="34"/>
        </w:rPr>
      </w:pPr>
      <w:r>
        <w:rPr>
          <w:rFonts w:ascii="IRBadr" w:hAnsi="IRBadr" w:cs="IRBadr" w:hint="cs"/>
          <w:sz w:val="34"/>
          <w:rtl/>
        </w:rPr>
        <w:t>این حدیث دارای سند صحیح است و بحثی در سند آن نیست.</w:t>
      </w:r>
    </w:p>
    <w:p w14:paraId="6663E47B" w14:textId="145864AB" w:rsidR="00D72B42" w:rsidRDefault="00D72B42" w:rsidP="002C75ED">
      <w:pPr>
        <w:ind w:firstLine="397"/>
        <w:rPr>
          <w:rFonts w:ascii="IRBadr" w:hAnsi="IRBadr" w:cs="IRBadr"/>
          <w:sz w:val="34"/>
          <w:rtl/>
        </w:rPr>
      </w:pPr>
      <w:r>
        <w:rPr>
          <w:rFonts w:ascii="IRBadr" w:hAnsi="IRBadr" w:cs="IRBadr" w:hint="cs"/>
          <w:sz w:val="34"/>
          <w:rtl/>
        </w:rPr>
        <w:t>«</w:t>
      </w:r>
      <w:r w:rsidRPr="00D72B42">
        <w:rPr>
          <w:rFonts w:ascii="IRBadr" w:hAnsi="IRBadr" w:cs="IRBadr"/>
          <w:sz w:val="34"/>
          <w:rtl/>
        </w:rPr>
        <w:t>حَدَّثَنَا أَبِي رَضِيَ اللَّهُ عَنْهُ قَالَ حَدَّثَنَا سَعْدُ بْنُ عَبْدِ اللَّهِ عَنْ أَحْمَدَ بْنِ مُحَمَّدِ بْنِ عِيسَى عَنِ الْحُسَيْنِ بْنِ سَعِيدٍ عَنْ حَمَّادِ بْنِ عِيسَى عَنْ حَرِيزٍ عَنْ زُرَارَةَ عَن‏</w:t>
      </w:r>
      <w:r>
        <w:rPr>
          <w:rFonts w:ascii="IRBadr" w:hAnsi="IRBadr" w:cs="IRBadr" w:hint="cs"/>
          <w:sz w:val="34"/>
          <w:rtl/>
        </w:rPr>
        <w:t xml:space="preserve"> </w:t>
      </w:r>
      <w:r w:rsidRPr="00D72B42">
        <w:rPr>
          <w:rFonts w:ascii="IRBadr" w:hAnsi="IRBadr" w:cs="IRBadr"/>
          <w:sz w:val="34"/>
          <w:rtl/>
        </w:rPr>
        <w:t xml:space="preserve">أَبِي عَبْدِ اللَّهِ ع قَالَ: </w:t>
      </w:r>
      <w:r w:rsidRPr="00D72B42">
        <w:rPr>
          <w:rFonts w:ascii="IRBadr" w:hAnsi="IRBadr" w:cs="IRBadr"/>
          <w:color w:val="008000"/>
          <w:sz w:val="34"/>
          <w:rtl/>
        </w:rPr>
        <w:t>لَا تُعَادُ الصَّلَاةُ إِلَّا مِنْ خَمْسَةٍ الطَّهُورِ وَ الْوَقْتِ وَ الْقِبْلَةِ وَ الرُّكُوعِ وَ السُّجُودِ ثُمَّ قَالَ ع الْقِرَاءَةُ سُنَّةٌ وَ التَّشَهُّدُ سُنَّةٌ وَ التَّكْبِيرُ سُنَّةٌ وَ لَا تَنْقُضُ السُّنَّةُ الْفَرِيضَةَ</w:t>
      </w:r>
      <w:r>
        <w:rPr>
          <w:rFonts w:ascii="IRBadr" w:hAnsi="IRBadr" w:cs="IRBadr" w:hint="cs"/>
          <w:sz w:val="34"/>
          <w:rtl/>
        </w:rPr>
        <w:t>»</w:t>
      </w:r>
      <w:r>
        <w:rPr>
          <w:rStyle w:val="FootnoteReference"/>
          <w:rFonts w:ascii="IRBadr" w:hAnsi="IRBadr" w:cs="IRBadr"/>
          <w:sz w:val="34"/>
          <w:rtl/>
        </w:rPr>
        <w:footnoteReference w:id="3"/>
      </w:r>
      <w:r w:rsidRPr="00D72B42">
        <w:rPr>
          <w:rFonts w:ascii="IRBadr" w:hAnsi="IRBadr" w:cs="IRBadr"/>
          <w:sz w:val="34"/>
          <w:rtl/>
        </w:rPr>
        <w:t>.</w:t>
      </w:r>
    </w:p>
    <w:p w14:paraId="1E1AAEDE" w14:textId="52269E36" w:rsidR="00D72B42" w:rsidRDefault="00141470" w:rsidP="002C75ED">
      <w:pPr>
        <w:ind w:firstLine="397"/>
        <w:rPr>
          <w:rFonts w:ascii="IRBadr" w:hAnsi="IRBadr" w:cs="IRBadr"/>
          <w:sz w:val="34"/>
          <w:rtl/>
        </w:rPr>
      </w:pPr>
      <w:r>
        <w:rPr>
          <w:rFonts w:ascii="IRBadr" w:hAnsi="IRBadr" w:cs="IRBadr" w:hint="cs"/>
          <w:sz w:val="34"/>
          <w:rtl/>
        </w:rPr>
        <w:t>در مورد این حدیث ابتدا برخی نکات ذکر می‌گردد:</w:t>
      </w:r>
    </w:p>
    <w:p w14:paraId="2E9061F3" w14:textId="17A944E0" w:rsidR="00271B23" w:rsidRDefault="00271B23" w:rsidP="00271B23">
      <w:pPr>
        <w:pStyle w:val="Heading2"/>
        <w:rPr>
          <w:rtl/>
        </w:rPr>
      </w:pPr>
      <w:bookmarkStart w:id="18" w:name="_Toc219106757"/>
      <w:r>
        <w:rPr>
          <w:rFonts w:hint="cs"/>
          <w:rtl/>
        </w:rPr>
        <w:lastRenderedPageBreak/>
        <w:t>مراد از «طهور»</w:t>
      </w:r>
      <w:bookmarkEnd w:id="18"/>
    </w:p>
    <w:p w14:paraId="49FFFAC5" w14:textId="12794A5D" w:rsidR="00A03506" w:rsidRDefault="00141470" w:rsidP="002C75ED">
      <w:pPr>
        <w:ind w:firstLine="397"/>
        <w:rPr>
          <w:rFonts w:ascii="IRBadr" w:hAnsi="IRBadr" w:cs="IRBadr"/>
          <w:sz w:val="34"/>
          <w:rtl/>
        </w:rPr>
      </w:pPr>
      <w:r>
        <w:rPr>
          <w:rFonts w:ascii="IRBadr" w:hAnsi="IRBadr" w:cs="IRBadr" w:hint="cs"/>
          <w:sz w:val="34"/>
          <w:rtl/>
        </w:rPr>
        <w:t>مراد از طهور، «ما یتطهّر به» است. برخی آن را به معنای «الطاهر فی نفسه و المطهّر لغیره» دانسته‌اند. به نظر می‌رسد وزن ف</w:t>
      </w:r>
      <w:r w:rsidR="00A03506">
        <w:rPr>
          <w:rFonts w:ascii="IRBadr" w:hAnsi="IRBadr" w:cs="IRBadr" w:hint="cs"/>
          <w:sz w:val="34"/>
          <w:rtl/>
        </w:rPr>
        <w:t>َ</w:t>
      </w:r>
      <w:r>
        <w:rPr>
          <w:rFonts w:ascii="IRBadr" w:hAnsi="IRBadr" w:cs="IRBadr" w:hint="cs"/>
          <w:sz w:val="34"/>
          <w:rtl/>
        </w:rPr>
        <w:t xml:space="preserve">عول دارای چنین مفادی نیست. برخی مشتقات در ادبیات وجود دارد که با مشتق اصولی تفاوت دارد و این مشتقات در کتب نحوی متعارف ذکر نشده است. مشتق، لفظی است که از مبدئی اخذ شده و بر یک معنای </w:t>
      </w:r>
      <w:r w:rsidR="00A03506">
        <w:rPr>
          <w:rFonts w:ascii="IRBadr" w:hAnsi="IRBadr" w:cs="IRBadr" w:hint="cs"/>
          <w:sz w:val="34"/>
          <w:rtl/>
        </w:rPr>
        <w:t xml:space="preserve">جدید </w:t>
      </w:r>
      <w:r>
        <w:rPr>
          <w:rFonts w:ascii="IRBadr" w:hAnsi="IRBadr" w:cs="IRBadr" w:hint="cs"/>
          <w:sz w:val="34"/>
          <w:rtl/>
        </w:rPr>
        <w:t>که ناشی از هیئت است دلالت دارد</w:t>
      </w:r>
      <w:r w:rsidR="00A03506">
        <w:rPr>
          <w:rFonts w:ascii="IRBadr" w:hAnsi="IRBadr" w:cs="IRBadr" w:hint="cs"/>
          <w:sz w:val="34"/>
          <w:rtl/>
        </w:rPr>
        <w:t>. به مثال‌های زیر توجه کنید:</w:t>
      </w:r>
    </w:p>
    <w:p w14:paraId="6D11A526" w14:textId="5AC2EE8F" w:rsidR="00141470" w:rsidRDefault="00A03506" w:rsidP="002C75ED">
      <w:pPr>
        <w:ind w:firstLine="397"/>
        <w:rPr>
          <w:rFonts w:ascii="IRBadr" w:hAnsi="IRBadr" w:cs="IRBadr"/>
          <w:sz w:val="34"/>
          <w:rtl/>
        </w:rPr>
      </w:pPr>
      <w:r w:rsidRPr="00A03506">
        <w:rPr>
          <w:rFonts w:ascii="IRBadr" w:hAnsi="IRBadr" w:cs="IRBadr" w:hint="cs"/>
          <w:b/>
          <w:bCs/>
          <w:sz w:val="34"/>
          <w:rtl/>
        </w:rPr>
        <w:t xml:space="preserve">فَعیل: </w:t>
      </w:r>
      <w:r>
        <w:rPr>
          <w:rFonts w:ascii="IRBadr" w:hAnsi="IRBadr" w:cs="IRBadr" w:hint="cs"/>
          <w:sz w:val="34"/>
          <w:rtl/>
        </w:rPr>
        <w:t xml:space="preserve">یکی از معانی </w:t>
      </w:r>
      <w:r w:rsidR="00141470">
        <w:rPr>
          <w:rFonts w:ascii="IRBadr" w:hAnsi="IRBadr" w:cs="IRBadr" w:hint="cs"/>
          <w:sz w:val="34"/>
          <w:rtl/>
        </w:rPr>
        <w:t>وزن فعیل</w:t>
      </w:r>
      <w:r>
        <w:rPr>
          <w:rFonts w:ascii="IRBadr" w:hAnsi="IRBadr" w:cs="IRBadr" w:hint="cs"/>
          <w:sz w:val="34"/>
          <w:rtl/>
        </w:rPr>
        <w:t>،</w:t>
      </w:r>
      <w:r w:rsidR="00141470">
        <w:rPr>
          <w:rFonts w:ascii="IRBadr" w:hAnsi="IRBadr" w:cs="IRBadr" w:hint="cs"/>
          <w:sz w:val="34"/>
          <w:rtl/>
        </w:rPr>
        <w:t xml:space="preserve"> معنای</w:t>
      </w:r>
      <w:r>
        <w:rPr>
          <w:rFonts w:ascii="IRBadr" w:hAnsi="IRBadr" w:cs="IRBadr" w:hint="cs"/>
          <w:sz w:val="34"/>
          <w:rtl/>
        </w:rPr>
        <w:t xml:space="preserve"> «المشارک فی المبدأ» است</w:t>
      </w:r>
      <w:r w:rsidR="00141470">
        <w:rPr>
          <w:rFonts w:ascii="IRBadr" w:hAnsi="IRBadr" w:cs="IRBadr" w:hint="cs"/>
          <w:sz w:val="34"/>
          <w:rtl/>
        </w:rPr>
        <w:t>. کلماتی مثل جلیس</w:t>
      </w:r>
      <w:r>
        <w:rPr>
          <w:rFonts w:ascii="IRBadr" w:hAnsi="IRBadr" w:cs="IRBadr" w:hint="cs"/>
          <w:sz w:val="34"/>
          <w:rtl/>
        </w:rPr>
        <w:t xml:space="preserve"> به معنای «المشارک فی الجلوس» است که همان هم‌نشین می‌شود، و یا کلیم به معنای هم‌سخن است. </w:t>
      </w:r>
      <w:r w:rsidR="00064E0A">
        <w:rPr>
          <w:rFonts w:ascii="IRBadr" w:hAnsi="IRBadr" w:cs="IRBadr" w:hint="cs"/>
          <w:sz w:val="34"/>
          <w:rtl/>
        </w:rPr>
        <w:t>چنین است</w:t>
      </w:r>
      <w:r>
        <w:rPr>
          <w:rFonts w:ascii="IRBadr" w:hAnsi="IRBadr" w:cs="IRBadr" w:hint="cs"/>
          <w:sz w:val="34"/>
          <w:rtl/>
        </w:rPr>
        <w:t xml:space="preserve"> کلماتی مثل شریب، </w:t>
      </w:r>
      <w:r w:rsidR="00141470">
        <w:rPr>
          <w:rFonts w:ascii="IRBadr" w:hAnsi="IRBadr" w:cs="IRBadr" w:hint="cs"/>
          <w:sz w:val="34"/>
          <w:rtl/>
        </w:rPr>
        <w:t>س</w:t>
      </w:r>
      <w:r>
        <w:rPr>
          <w:rFonts w:ascii="IRBadr" w:hAnsi="IRBadr" w:cs="IRBadr" w:hint="cs"/>
          <w:sz w:val="34"/>
          <w:rtl/>
        </w:rPr>
        <w:t>َ</w:t>
      </w:r>
      <w:r w:rsidR="00141470">
        <w:rPr>
          <w:rFonts w:ascii="IRBadr" w:hAnsi="IRBadr" w:cs="IRBadr" w:hint="cs"/>
          <w:sz w:val="34"/>
          <w:rtl/>
        </w:rPr>
        <w:t>میّ، کنیّ</w:t>
      </w:r>
      <w:r w:rsidR="00064E0A">
        <w:rPr>
          <w:rFonts w:ascii="IRBadr" w:hAnsi="IRBadr" w:cs="IRBadr" w:hint="cs"/>
          <w:sz w:val="34"/>
          <w:rtl/>
        </w:rPr>
        <w:t xml:space="preserve">. واژه «کَنیّ» </w:t>
      </w:r>
      <w:r>
        <w:rPr>
          <w:rFonts w:ascii="IRBadr" w:hAnsi="IRBadr" w:cs="IRBadr" w:hint="cs"/>
          <w:sz w:val="34"/>
          <w:rtl/>
        </w:rPr>
        <w:t>به معنای هم‌کنیه</w:t>
      </w:r>
      <w:r w:rsidR="00064E0A">
        <w:rPr>
          <w:rFonts w:ascii="IRBadr" w:hAnsi="IRBadr" w:cs="IRBadr" w:hint="cs"/>
          <w:sz w:val="34"/>
          <w:rtl/>
        </w:rPr>
        <w:t xml:space="preserve"> است.</w:t>
      </w:r>
      <w:r>
        <w:rPr>
          <w:rFonts w:ascii="IRBadr" w:hAnsi="IRBadr" w:cs="IRBadr" w:hint="cs"/>
          <w:sz w:val="34"/>
          <w:rtl/>
        </w:rPr>
        <w:t xml:space="preserve"> در روایتی در مورد حضرت صاحب الأمر آمده است: </w:t>
      </w:r>
      <w:r w:rsidRPr="00A03506">
        <w:rPr>
          <w:rFonts w:ascii="IRBadr" w:hAnsi="IRBadr" w:cs="IRBadr" w:hint="cs"/>
          <w:color w:val="008000"/>
          <w:sz w:val="34"/>
          <w:rtl/>
        </w:rPr>
        <w:t>«</w:t>
      </w:r>
      <w:r w:rsidRPr="00A03506">
        <w:rPr>
          <w:rFonts w:ascii="IRBadr" w:hAnsi="IRBadr" w:cs="IRBadr"/>
          <w:color w:val="008000"/>
          <w:sz w:val="34"/>
          <w:rtl/>
        </w:rPr>
        <w:t>هُوَ سَمِيُّ رَسُولِ اللَّهِ ص وَ كَنِيُّهُ</w:t>
      </w:r>
      <w:r w:rsidRPr="00A03506">
        <w:rPr>
          <w:rFonts w:ascii="IRBadr" w:hAnsi="IRBadr" w:cs="IRBadr" w:hint="cs"/>
          <w:color w:val="008000"/>
          <w:sz w:val="34"/>
          <w:rtl/>
        </w:rPr>
        <w:t>»</w:t>
      </w:r>
      <w:r>
        <w:rPr>
          <w:rStyle w:val="FootnoteReference"/>
          <w:rFonts w:ascii="IRBadr" w:hAnsi="IRBadr" w:cs="IRBadr"/>
          <w:color w:val="008000"/>
          <w:sz w:val="34"/>
          <w:rtl/>
        </w:rPr>
        <w:footnoteReference w:id="4"/>
      </w:r>
      <w:r w:rsidR="00141470">
        <w:rPr>
          <w:rFonts w:ascii="IRBadr" w:hAnsi="IRBadr" w:cs="IRBadr" w:hint="cs"/>
          <w:sz w:val="34"/>
          <w:rtl/>
        </w:rPr>
        <w:t>.</w:t>
      </w:r>
    </w:p>
    <w:p w14:paraId="238A467A" w14:textId="4841C4B9" w:rsidR="00141470" w:rsidRDefault="00A03506" w:rsidP="002C75ED">
      <w:pPr>
        <w:ind w:firstLine="397"/>
        <w:rPr>
          <w:rFonts w:ascii="IRBadr" w:hAnsi="IRBadr" w:cs="IRBadr"/>
          <w:sz w:val="34"/>
          <w:rtl/>
        </w:rPr>
      </w:pPr>
      <w:r w:rsidRPr="00A03506">
        <w:rPr>
          <w:rFonts w:ascii="IRBadr" w:hAnsi="IRBadr" w:cs="IRBadr" w:hint="cs"/>
          <w:b/>
          <w:bCs/>
          <w:sz w:val="34"/>
          <w:rtl/>
        </w:rPr>
        <w:t xml:space="preserve">فُعالة: </w:t>
      </w:r>
      <w:r w:rsidR="00141470">
        <w:rPr>
          <w:rFonts w:ascii="IRBadr" w:hAnsi="IRBadr" w:cs="IRBadr" w:hint="cs"/>
          <w:sz w:val="34"/>
          <w:rtl/>
        </w:rPr>
        <w:t>وزن ف</w:t>
      </w:r>
      <w:r>
        <w:rPr>
          <w:rFonts w:ascii="IRBadr" w:hAnsi="IRBadr" w:cs="IRBadr" w:hint="cs"/>
          <w:sz w:val="34"/>
          <w:rtl/>
        </w:rPr>
        <w:t>ُ</w:t>
      </w:r>
      <w:r w:rsidR="00141470">
        <w:rPr>
          <w:rFonts w:ascii="IRBadr" w:hAnsi="IRBadr" w:cs="IRBadr" w:hint="cs"/>
          <w:sz w:val="34"/>
          <w:rtl/>
        </w:rPr>
        <w:t>عاله به معنای «المتبقّی من الصمدر»</w:t>
      </w:r>
      <w:r>
        <w:rPr>
          <w:rFonts w:ascii="IRBadr" w:hAnsi="IRBadr" w:cs="IRBadr" w:hint="cs"/>
          <w:sz w:val="34"/>
          <w:rtl/>
        </w:rPr>
        <w:t xml:space="preserve"> است؛ مثل غُساله که به معنای «المتبقّی من الغَسل» است، و</w:t>
      </w:r>
      <w:r w:rsidR="00141470">
        <w:rPr>
          <w:rFonts w:ascii="IRBadr" w:hAnsi="IRBadr" w:cs="IRBadr" w:hint="cs"/>
          <w:sz w:val="34"/>
          <w:rtl/>
        </w:rPr>
        <w:t xml:space="preserve"> کناسه</w:t>
      </w:r>
      <w:r>
        <w:rPr>
          <w:rFonts w:ascii="IRBadr" w:hAnsi="IRBadr" w:cs="IRBadr" w:hint="cs"/>
          <w:sz w:val="34"/>
          <w:rtl/>
        </w:rPr>
        <w:t>: «المتبقّی من الکَنس»</w:t>
      </w:r>
      <w:r w:rsidR="00141470">
        <w:rPr>
          <w:rFonts w:ascii="IRBadr" w:hAnsi="IRBadr" w:cs="IRBadr" w:hint="cs"/>
          <w:sz w:val="34"/>
          <w:rtl/>
        </w:rPr>
        <w:t xml:space="preserve"> و س</w:t>
      </w:r>
      <w:r>
        <w:rPr>
          <w:rFonts w:ascii="IRBadr" w:hAnsi="IRBadr" w:cs="IRBadr" w:hint="cs"/>
          <w:sz w:val="34"/>
          <w:rtl/>
        </w:rPr>
        <w:t>ُ</w:t>
      </w:r>
      <w:r w:rsidR="00141470">
        <w:rPr>
          <w:rFonts w:ascii="IRBadr" w:hAnsi="IRBadr" w:cs="IRBadr" w:hint="cs"/>
          <w:sz w:val="34"/>
          <w:rtl/>
        </w:rPr>
        <w:t>بابه</w:t>
      </w:r>
      <w:r>
        <w:rPr>
          <w:rFonts w:ascii="IRBadr" w:hAnsi="IRBadr" w:cs="IRBadr" w:hint="cs"/>
          <w:sz w:val="34"/>
          <w:rtl/>
        </w:rPr>
        <w:t xml:space="preserve"> که به معنای «المتبقّی من السبّ» است، وقتی یک ظرف، خالی می‌شود، آنچه در ته ظرف باقی می‌ماند، به آن «سُبابة الإناء» اطلاق می‌شود</w:t>
      </w:r>
      <w:r w:rsidR="00141470">
        <w:rPr>
          <w:rFonts w:ascii="IRBadr" w:hAnsi="IRBadr" w:cs="IRBadr" w:hint="cs"/>
          <w:sz w:val="34"/>
          <w:rtl/>
        </w:rPr>
        <w:t>.</w:t>
      </w:r>
    </w:p>
    <w:p w14:paraId="04301348" w14:textId="22397CE6" w:rsidR="00141470" w:rsidRDefault="00A03506" w:rsidP="002C75ED">
      <w:pPr>
        <w:ind w:firstLine="397"/>
        <w:rPr>
          <w:rFonts w:ascii="IRBadr" w:hAnsi="IRBadr" w:cs="IRBadr"/>
          <w:sz w:val="34"/>
          <w:rtl/>
        </w:rPr>
      </w:pPr>
      <w:r w:rsidRPr="00A03506">
        <w:rPr>
          <w:rFonts w:ascii="IRBadr" w:hAnsi="IRBadr" w:cs="IRBadr" w:hint="cs"/>
          <w:b/>
          <w:bCs/>
          <w:sz w:val="34"/>
          <w:rtl/>
        </w:rPr>
        <w:t xml:space="preserve">فَعول: </w:t>
      </w:r>
      <w:r w:rsidR="00141470">
        <w:rPr>
          <w:rFonts w:ascii="IRBadr" w:hAnsi="IRBadr" w:cs="IRBadr" w:hint="cs"/>
          <w:sz w:val="34"/>
          <w:rtl/>
        </w:rPr>
        <w:t>یکی از این مشتقات، وزن فعول است، که به معنی</w:t>
      </w:r>
      <w:r>
        <w:rPr>
          <w:rFonts w:ascii="IRBadr" w:hAnsi="IRBadr" w:cs="IRBadr" w:hint="cs"/>
          <w:sz w:val="34"/>
          <w:rtl/>
        </w:rPr>
        <w:t xml:space="preserve"> آلت شیء است، یعنی</w:t>
      </w:r>
      <w:r w:rsidR="00141470">
        <w:rPr>
          <w:rFonts w:ascii="IRBadr" w:hAnsi="IRBadr" w:cs="IRBadr" w:hint="cs"/>
          <w:sz w:val="34"/>
          <w:rtl/>
        </w:rPr>
        <w:t xml:space="preserve"> «ما یتحقّق المصدر بسببه»؛ بنابراین طهور به معنای «ما یتطهّر به»</w:t>
      </w:r>
      <w:r w:rsidR="00271B23">
        <w:rPr>
          <w:rFonts w:ascii="IRBadr" w:hAnsi="IRBadr" w:cs="IRBadr" w:hint="cs"/>
          <w:sz w:val="34"/>
          <w:rtl/>
        </w:rPr>
        <w:t xml:space="preserve"> است</w:t>
      </w:r>
      <w:r w:rsidR="00141470">
        <w:rPr>
          <w:rFonts w:ascii="IRBadr" w:hAnsi="IRBadr" w:cs="IRBadr" w:hint="cs"/>
          <w:sz w:val="34"/>
          <w:rtl/>
        </w:rPr>
        <w:t xml:space="preserve">. طهور به معنای </w:t>
      </w:r>
      <w:r w:rsidR="00271B23">
        <w:rPr>
          <w:rFonts w:ascii="IRBadr" w:hAnsi="IRBadr" w:cs="IRBadr" w:hint="cs"/>
          <w:sz w:val="34"/>
          <w:rtl/>
        </w:rPr>
        <w:t xml:space="preserve">آب وضو یعنی </w:t>
      </w:r>
      <w:r w:rsidR="00141470">
        <w:rPr>
          <w:rFonts w:ascii="IRBadr" w:hAnsi="IRBadr" w:cs="IRBadr" w:hint="cs"/>
          <w:sz w:val="34"/>
          <w:rtl/>
        </w:rPr>
        <w:t xml:space="preserve">«ما یتوضّئ به» </w:t>
      </w:r>
      <w:r w:rsidR="00271B23">
        <w:rPr>
          <w:rFonts w:ascii="IRBadr" w:hAnsi="IRBadr" w:cs="IRBadr" w:hint="cs"/>
          <w:sz w:val="34"/>
          <w:rtl/>
        </w:rPr>
        <w:t>است. البته</w:t>
      </w:r>
      <w:r w:rsidR="00141470">
        <w:rPr>
          <w:rFonts w:ascii="IRBadr" w:hAnsi="IRBadr" w:cs="IRBadr" w:hint="cs"/>
          <w:sz w:val="34"/>
          <w:rtl/>
        </w:rPr>
        <w:t xml:space="preserve"> گاهی به معنای خود وضو است که وسیله طهارت است. وقود نیز به معنای «ما یتوقّد به» </w:t>
      </w:r>
      <w:r w:rsidR="00271B23">
        <w:rPr>
          <w:rFonts w:ascii="IRBadr" w:hAnsi="IRBadr" w:cs="IRBadr" w:hint="cs"/>
          <w:sz w:val="34"/>
          <w:rtl/>
        </w:rPr>
        <w:t xml:space="preserve">یعنی آتش‌زنه </w:t>
      </w:r>
      <w:r w:rsidR="00141470">
        <w:rPr>
          <w:rFonts w:ascii="IRBadr" w:hAnsi="IRBadr" w:cs="IRBadr" w:hint="cs"/>
          <w:sz w:val="34"/>
          <w:rtl/>
        </w:rPr>
        <w:t>است</w:t>
      </w:r>
      <w:r w:rsidR="00271B23">
        <w:rPr>
          <w:rFonts w:ascii="IRBadr" w:hAnsi="IRBadr" w:cs="IRBadr" w:hint="cs"/>
          <w:sz w:val="34"/>
          <w:rtl/>
        </w:rPr>
        <w:t>، یعنی آنچه گرفتن آتش به‌وسیله آن محقق می‌شود</w:t>
      </w:r>
      <w:r w:rsidR="00141470">
        <w:rPr>
          <w:rFonts w:ascii="IRBadr" w:hAnsi="IRBadr" w:cs="IRBadr" w:hint="cs"/>
          <w:sz w:val="34"/>
          <w:rtl/>
        </w:rPr>
        <w:t xml:space="preserve">. طهور در </w:t>
      </w:r>
      <w:r w:rsidR="00271B23">
        <w:rPr>
          <w:rFonts w:ascii="IRBadr" w:hAnsi="IRBadr" w:cs="IRBadr" w:hint="cs"/>
          <w:sz w:val="34"/>
          <w:rtl/>
        </w:rPr>
        <w:t xml:space="preserve">حدیث «لا تعاد» یا </w:t>
      </w:r>
      <w:r w:rsidR="00141470">
        <w:rPr>
          <w:rFonts w:ascii="IRBadr" w:hAnsi="IRBadr" w:cs="IRBadr" w:hint="cs"/>
          <w:sz w:val="34"/>
          <w:rtl/>
        </w:rPr>
        <w:t xml:space="preserve">به معنای آب است که وسیله وضو یا وضو است که وسیله </w:t>
      </w:r>
      <w:r w:rsidR="00271B23">
        <w:rPr>
          <w:rFonts w:ascii="IRBadr" w:hAnsi="IRBadr" w:cs="IRBadr" w:hint="cs"/>
          <w:sz w:val="34"/>
          <w:rtl/>
        </w:rPr>
        <w:t>طهارت</w:t>
      </w:r>
      <w:r w:rsidR="00141470">
        <w:rPr>
          <w:rFonts w:ascii="IRBadr" w:hAnsi="IRBadr" w:cs="IRBadr" w:hint="cs"/>
          <w:sz w:val="34"/>
          <w:rtl/>
        </w:rPr>
        <w:t xml:space="preserve"> است. معنای دوم در روایت شریفه اقوی به نظر می‌رسد.</w:t>
      </w:r>
    </w:p>
    <w:p w14:paraId="43D9E669" w14:textId="77777777" w:rsidR="00271B23" w:rsidRDefault="00271B23" w:rsidP="00271B23">
      <w:pPr>
        <w:pStyle w:val="Heading2"/>
        <w:rPr>
          <w:rtl/>
        </w:rPr>
      </w:pPr>
      <w:bookmarkStart w:id="19" w:name="_Toc219106758"/>
      <w:r>
        <w:rPr>
          <w:rFonts w:hint="cs"/>
          <w:rtl/>
        </w:rPr>
        <w:t>مراد از سنّت و فریضه</w:t>
      </w:r>
      <w:bookmarkEnd w:id="19"/>
    </w:p>
    <w:p w14:paraId="5AF1BF2B" w14:textId="6F6E9FE6" w:rsidR="00141470" w:rsidRDefault="00141470" w:rsidP="002C75ED">
      <w:pPr>
        <w:ind w:firstLine="397"/>
        <w:rPr>
          <w:rFonts w:ascii="IRBadr" w:hAnsi="IRBadr" w:cs="IRBadr"/>
          <w:sz w:val="34"/>
          <w:rtl/>
        </w:rPr>
      </w:pPr>
      <w:r>
        <w:rPr>
          <w:rFonts w:ascii="IRBadr" w:hAnsi="IRBadr" w:cs="IRBadr" w:hint="cs"/>
          <w:sz w:val="34"/>
          <w:rtl/>
        </w:rPr>
        <w:t xml:space="preserve">برخی فریضه را به معنای «ما أوجبه الله فی القرآن» دانسته‌اند. به نظر می‌رسد قید «فی القرآن» </w:t>
      </w:r>
      <w:r w:rsidR="001F18EF">
        <w:rPr>
          <w:rFonts w:ascii="IRBadr" w:hAnsi="IRBadr" w:cs="IRBadr" w:hint="cs"/>
          <w:sz w:val="34"/>
          <w:rtl/>
        </w:rPr>
        <w:t>زائد است</w:t>
      </w:r>
      <w:r>
        <w:rPr>
          <w:rFonts w:ascii="IRBadr" w:hAnsi="IRBadr" w:cs="IRBadr" w:hint="cs"/>
          <w:sz w:val="34"/>
          <w:rtl/>
        </w:rPr>
        <w:t>؛ بلکه این واژه به معنای «ما أوجبه اللّه» است</w:t>
      </w:r>
      <w:r w:rsidR="001F18EF">
        <w:rPr>
          <w:rFonts w:ascii="IRBadr" w:hAnsi="IRBadr" w:cs="IRBadr" w:hint="cs"/>
          <w:sz w:val="34"/>
          <w:rtl/>
        </w:rPr>
        <w:t>، که در مقابل سنّت به معنای «ما أوجبه النبیّ» است</w:t>
      </w:r>
      <w:r>
        <w:rPr>
          <w:rFonts w:ascii="IRBadr" w:hAnsi="IRBadr" w:cs="IRBadr" w:hint="cs"/>
          <w:sz w:val="34"/>
          <w:rtl/>
        </w:rPr>
        <w:t xml:space="preserve">. در </w:t>
      </w:r>
      <w:r w:rsidR="00C53B2B">
        <w:rPr>
          <w:rFonts w:ascii="IRBadr" w:hAnsi="IRBadr" w:cs="IRBadr" w:hint="cs"/>
          <w:sz w:val="34"/>
          <w:rtl/>
        </w:rPr>
        <w:t xml:space="preserve">کافی و بصائر الدرجات </w:t>
      </w:r>
      <w:r>
        <w:rPr>
          <w:rFonts w:ascii="IRBadr" w:hAnsi="IRBadr" w:cs="IRBadr" w:hint="cs"/>
          <w:sz w:val="34"/>
          <w:rtl/>
        </w:rPr>
        <w:t xml:space="preserve">مثال‌های متعددی در مورد حق تشریع نبی و مواردی که آن حضرت جعل نموده وارد شده است. </w:t>
      </w:r>
      <w:r w:rsidR="00C53B2B">
        <w:rPr>
          <w:rFonts w:ascii="IRBadr" w:hAnsi="IRBadr" w:cs="IRBadr" w:hint="cs"/>
          <w:sz w:val="34"/>
          <w:rtl/>
        </w:rPr>
        <w:t xml:space="preserve">مثلا </w:t>
      </w:r>
      <w:r>
        <w:rPr>
          <w:rFonts w:ascii="IRBadr" w:hAnsi="IRBadr" w:cs="IRBadr" w:hint="cs"/>
          <w:sz w:val="34"/>
          <w:rtl/>
        </w:rPr>
        <w:t xml:space="preserve">در </w:t>
      </w:r>
      <w:r w:rsidR="00C53B2B">
        <w:rPr>
          <w:rFonts w:ascii="IRBadr" w:hAnsi="IRBadr" w:cs="IRBadr" w:hint="cs"/>
          <w:sz w:val="34"/>
          <w:rtl/>
        </w:rPr>
        <w:t xml:space="preserve">برخی از این </w:t>
      </w:r>
      <w:r>
        <w:rPr>
          <w:rFonts w:ascii="IRBadr" w:hAnsi="IRBadr" w:cs="IRBadr" w:hint="cs"/>
          <w:sz w:val="34"/>
          <w:rtl/>
        </w:rPr>
        <w:t xml:space="preserve">روایات وارد شده که </w:t>
      </w:r>
      <w:r w:rsidR="00C53B2B">
        <w:rPr>
          <w:rFonts w:ascii="IRBadr" w:hAnsi="IRBadr" w:cs="IRBadr" w:hint="cs"/>
          <w:sz w:val="34"/>
          <w:rtl/>
        </w:rPr>
        <w:t xml:space="preserve">خداوند متعال </w:t>
      </w:r>
      <w:r>
        <w:rPr>
          <w:rFonts w:ascii="IRBadr" w:hAnsi="IRBadr" w:cs="IRBadr" w:hint="cs"/>
          <w:sz w:val="34"/>
          <w:rtl/>
        </w:rPr>
        <w:t>خمر را به نحو مطلق حرام نکرده بلکه تنها شراب انگوری را حرام نموده، ولی پیامبر (ص) مطلق خمر را حرام کرده و خداوند متعال هم امضا نموده است.</w:t>
      </w:r>
      <w:r w:rsidR="00432E48">
        <w:rPr>
          <w:rFonts w:ascii="IRBadr" w:hAnsi="IRBadr" w:cs="IRBadr" w:hint="cs"/>
          <w:sz w:val="34"/>
          <w:rtl/>
        </w:rPr>
        <w:t xml:space="preserve"> آنچه خداوند واجب نموده از درجه اهمیت بالاتری برخوردار است.</w:t>
      </w:r>
    </w:p>
    <w:p w14:paraId="4A1EE1D3" w14:textId="58928A98" w:rsidR="00141470" w:rsidRDefault="00141470" w:rsidP="002C75ED">
      <w:pPr>
        <w:ind w:firstLine="397"/>
        <w:rPr>
          <w:rFonts w:ascii="IRBadr" w:hAnsi="IRBadr" w:cs="IRBadr"/>
          <w:sz w:val="34"/>
          <w:rtl/>
        </w:rPr>
      </w:pPr>
      <w:r>
        <w:rPr>
          <w:rFonts w:ascii="IRBadr" w:hAnsi="IRBadr" w:cs="IRBadr" w:hint="cs"/>
          <w:sz w:val="34"/>
          <w:rtl/>
        </w:rPr>
        <w:t xml:space="preserve">یکی از مثال‌های فریضه </w:t>
      </w:r>
      <w:r w:rsidR="00432E48">
        <w:rPr>
          <w:rFonts w:ascii="IRBadr" w:hAnsi="IRBadr" w:cs="IRBadr" w:hint="cs"/>
          <w:sz w:val="34"/>
          <w:rtl/>
        </w:rPr>
        <w:t xml:space="preserve">که </w:t>
      </w:r>
      <w:r>
        <w:rPr>
          <w:rFonts w:ascii="IRBadr" w:hAnsi="IRBadr" w:cs="IRBadr" w:hint="cs"/>
          <w:sz w:val="34"/>
          <w:rtl/>
        </w:rPr>
        <w:t>در روایات</w:t>
      </w:r>
      <w:r w:rsidR="00432E48">
        <w:rPr>
          <w:rFonts w:ascii="IRBadr" w:hAnsi="IRBadr" w:cs="IRBadr" w:hint="cs"/>
          <w:sz w:val="34"/>
          <w:rtl/>
        </w:rPr>
        <w:t xml:space="preserve"> بیان شده</w:t>
      </w:r>
      <w:r>
        <w:rPr>
          <w:rFonts w:ascii="IRBadr" w:hAnsi="IRBadr" w:cs="IRBadr" w:hint="cs"/>
          <w:sz w:val="34"/>
          <w:rtl/>
        </w:rPr>
        <w:t xml:space="preserve">، دو رکعت اول در نمازهای چهاررکعتی است، و دو رکعت اخیر سنّت است. از این رو است که </w:t>
      </w:r>
      <w:r w:rsidR="0012501A">
        <w:rPr>
          <w:rFonts w:ascii="IRBadr" w:hAnsi="IRBadr" w:cs="IRBadr" w:hint="cs"/>
          <w:sz w:val="34"/>
          <w:rtl/>
        </w:rPr>
        <w:t xml:space="preserve">شک </w:t>
      </w:r>
      <w:r>
        <w:rPr>
          <w:rFonts w:ascii="IRBadr" w:hAnsi="IRBadr" w:cs="IRBadr" w:hint="cs"/>
          <w:sz w:val="34"/>
          <w:rtl/>
        </w:rPr>
        <w:t>در دو رکعت اول واقع نمی‌شود،</w:t>
      </w:r>
      <w:r w:rsidR="0012501A">
        <w:rPr>
          <w:rFonts w:ascii="IRBadr" w:hAnsi="IRBadr" w:cs="IRBadr" w:hint="cs"/>
          <w:sz w:val="34"/>
          <w:rtl/>
        </w:rPr>
        <w:t xml:space="preserve"> و شکّ در این دو رکعت مبطل است،</w:t>
      </w:r>
      <w:r>
        <w:rPr>
          <w:rFonts w:ascii="IRBadr" w:hAnsi="IRBadr" w:cs="IRBadr" w:hint="cs"/>
          <w:sz w:val="34"/>
          <w:rtl/>
        </w:rPr>
        <w:t xml:space="preserve"> ولی نسبت به شک در دو رکعت اخیر، اموری مثل نماز احتیاط قرار داده شده است.</w:t>
      </w:r>
      <w:r w:rsidR="0012501A">
        <w:rPr>
          <w:rFonts w:ascii="IRBadr" w:hAnsi="IRBadr" w:cs="IRBadr" w:hint="cs"/>
          <w:sz w:val="34"/>
          <w:rtl/>
        </w:rPr>
        <w:t xml:space="preserve"> آنچه در قرآن وارد شده اصل وجوب نماز است، ولی اینکه دو رکعت اول با دو رکعت دوم تفاوت دارد در روایات وارد شده است.</w:t>
      </w:r>
    </w:p>
    <w:p w14:paraId="7047B4C8" w14:textId="0B7DE286" w:rsidR="00111FE2" w:rsidRDefault="00111FE2" w:rsidP="002C75ED">
      <w:pPr>
        <w:ind w:firstLine="397"/>
        <w:rPr>
          <w:rFonts w:ascii="IRBadr" w:hAnsi="IRBadr" w:cs="IRBadr"/>
          <w:sz w:val="34"/>
          <w:rtl/>
        </w:rPr>
      </w:pPr>
      <w:r>
        <w:rPr>
          <w:rFonts w:ascii="IRBadr" w:hAnsi="IRBadr" w:cs="IRBadr" w:hint="cs"/>
          <w:sz w:val="34"/>
          <w:rtl/>
        </w:rPr>
        <w:t>آیت‌الله سیستانی</w:t>
      </w:r>
      <w:r w:rsidR="0012501A">
        <w:rPr>
          <w:rFonts w:ascii="IRBadr" w:hAnsi="IRBadr" w:cs="IRBadr" w:hint="cs"/>
          <w:sz w:val="34"/>
          <w:rtl/>
        </w:rPr>
        <w:t xml:space="preserve"> (و یا شاید آقای سید محمد رضا سیستانی)</w:t>
      </w:r>
      <w:r>
        <w:rPr>
          <w:rFonts w:ascii="IRBadr" w:hAnsi="IRBadr" w:cs="IRBadr" w:hint="cs"/>
          <w:sz w:val="34"/>
          <w:rtl/>
        </w:rPr>
        <w:t xml:space="preserve"> </w:t>
      </w:r>
      <w:r w:rsidR="0012501A">
        <w:rPr>
          <w:rFonts w:ascii="IRBadr" w:hAnsi="IRBadr" w:cs="IRBadr" w:hint="cs"/>
          <w:sz w:val="34"/>
          <w:rtl/>
        </w:rPr>
        <w:t xml:space="preserve">بیان کرده‌اند که مراد از وجوب در قرآن یک معنای عام است؛ به طوری که ممکن است </w:t>
      </w:r>
      <w:r w:rsidR="00EC37AB">
        <w:rPr>
          <w:rFonts w:ascii="IRBadr" w:hAnsi="IRBadr" w:cs="IRBadr" w:hint="cs"/>
          <w:sz w:val="34"/>
          <w:rtl/>
        </w:rPr>
        <w:t xml:space="preserve">در قرآن تنها به صورت اشاره ذکر شده و </w:t>
      </w:r>
      <w:r w:rsidR="0012501A">
        <w:rPr>
          <w:rFonts w:ascii="IRBadr" w:hAnsi="IRBadr" w:cs="IRBadr" w:hint="cs"/>
          <w:sz w:val="34"/>
          <w:rtl/>
        </w:rPr>
        <w:t>تفسیر آن در روایات وارد شده باشد</w:t>
      </w:r>
      <w:r w:rsidR="00EC37AB">
        <w:rPr>
          <w:rFonts w:ascii="IRBadr" w:hAnsi="IRBadr" w:cs="IRBadr" w:hint="cs"/>
          <w:sz w:val="34"/>
          <w:rtl/>
        </w:rPr>
        <w:t xml:space="preserve">؛ مثلا سجده نماز که از مستثنیات «لا تعاد» است در </w:t>
      </w:r>
      <w:r w:rsidR="00EC37AB">
        <w:rPr>
          <w:rFonts w:ascii="IRBadr" w:hAnsi="IRBadr" w:cs="IRBadr" w:hint="cs"/>
          <w:sz w:val="34"/>
          <w:rtl/>
        </w:rPr>
        <w:lastRenderedPageBreak/>
        <w:t xml:space="preserve">قرآن </w:t>
      </w:r>
      <w:r w:rsidR="006218D4">
        <w:rPr>
          <w:rFonts w:ascii="IRBadr" w:hAnsi="IRBadr" w:cs="IRBadr" w:hint="cs"/>
          <w:sz w:val="34"/>
          <w:rtl/>
        </w:rPr>
        <w:t xml:space="preserve">با صراحت </w:t>
      </w:r>
      <w:r w:rsidR="00EC37AB">
        <w:rPr>
          <w:rFonts w:ascii="IRBadr" w:hAnsi="IRBadr" w:cs="IRBadr" w:hint="cs"/>
          <w:sz w:val="34"/>
          <w:rtl/>
        </w:rPr>
        <w:t xml:space="preserve">وارد نشده است. آیه‌ای در قرآن در مورد سجده نماز وجود ندارد، ولی در روایات، آیه </w:t>
      </w:r>
      <w:r w:rsidR="00EC37AB" w:rsidRPr="00EC37AB">
        <w:rPr>
          <w:rFonts w:ascii="IRBadr" w:hAnsi="IRBadr" w:cs="IRBadr" w:hint="cs"/>
          <w:b/>
          <w:bCs/>
          <w:color w:val="008000"/>
          <w:sz w:val="34"/>
          <w:rtl/>
        </w:rPr>
        <w:t>«و أنّ المساجد للّه»</w:t>
      </w:r>
      <w:r w:rsidR="00EC37AB">
        <w:rPr>
          <w:rFonts w:ascii="IRBadr" w:hAnsi="IRBadr" w:cs="IRBadr" w:hint="cs"/>
          <w:sz w:val="34"/>
          <w:rtl/>
        </w:rPr>
        <w:t xml:space="preserve"> به مواضع سبعه </w:t>
      </w:r>
      <w:r w:rsidR="00B07149">
        <w:rPr>
          <w:rFonts w:ascii="IRBadr" w:hAnsi="IRBadr" w:cs="IRBadr" w:hint="cs"/>
          <w:sz w:val="34"/>
          <w:rtl/>
        </w:rPr>
        <w:t>-</w:t>
      </w:r>
      <w:r w:rsidR="00EC37AB">
        <w:rPr>
          <w:rFonts w:ascii="IRBadr" w:hAnsi="IRBadr" w:cs="IRBadr" w:hint="cs"/>
          <w:sz w:val="34"/>
          <w:rtl/>
        </w:rPr>
        <w:t>که در سجده بر زمین قرار داده می‌شود</w:t>
      </w:r>
      <w:r w:rsidR="00B07149">
        <w:rPr>
          <w:rFonts w:ascii="IRBadr" w:hAnsi="IRBadr" w:cs="IRBadr" w:hint="cs"/>
          <w:sz w:val="34"/>
          <w:rtl/>
        </w:rPr>
        <w:t>-</w:t>
      </w:r>
      <w:r w:rsidR="00EC37AB">
        <w:rPr>
          <w:rFonts w:ascii="IRBadr" w:hAnsi="IRBadr" w:cs="IRBadr" w:hint="cs"/>
          <w:sz w:val="34"/>
          <w:rtl/>
        </w:rPr>
        <w:t xml:space="preserve"> تفسیر شده است.</w:t>
      </w:r>
    </w:p>
    <w:p w14:paraId="747441FD" w14:textId="6383492D" w:rsidR="00B07149" w:rsidRDefault="00B07149" w:rsidP="00B07149">
      <w:pPr>
        <w:ind w:firstLine="397"/>
        <w:rPr>
          <w:rFonts w:ascii="IRBadr" w:hAnsi="IRBadr" w:cs="IRBadr"/>
          <w:sz w:val="34"/>
          <w:rtl/>
        </w:rPr>
      </w:pPr>
      <w:r>
        <w:rPr>
          <w:rFonts w:ascii="IRBadr" w:hAnsi="IRBadr" w:cs="IRBadr" w:hint="cs"/>
          <w:sz w:val="34"/>
          <w:rtl/>
        </w:rPr>
        <w:t xml:space="preserve">اگر چنین باشد، آیه </w:t>
      </w:r>
      <w:r w:rsidRPr="00EC37AB">
        <w:rPr>
          <w:rFonts w:ascii="IRBadr" w:hAnsi="IRBadr" w:cs="IRBadr" w:hint="cs"/>
          <w:b/>
          <w:bCs/>
          <w:color w:val="008000"/>
          <w:sz w:val="34"/>
          <w:rtl/>
        </w:rPr>
        <w:t>«و ثیابک فطهّر»</w:t>
      </w:r>
      <w:r>
        <w:rPr>
          <w:rFonts w:ascii="IRBadr" w:hAnsi="IRBadr" w:cs="IRBadr" w:hint="cs"/>
          <w:b/>
          <w:bCs/>
          <w:color w:val="008000"/>
          <w:sz w:val="34"/>
          <w:rtl/>
        </w:rPr>
        <w:t xml:space="preserve"> </w:t>
      </w:r>
      <w:r>
        <w:rPr>
          <w:rFonts w:ascii="IRBadr" w:hAnsi="IRBadr" w:cs="IRBadr" w:hint="cs"/>
          <w:sz w:val="34"/>
          <w:rtl/>
        </w:rPr>
        <w:t>هم باید فریضه باشد؛ چرا که بر اساس روایاتی که در ذیل آن وارد شده، این آیه ناظر به طهارت خبثیه برای صلات است. هرچند در قرآن بیان نشده که این آیه مربوط به صلات است، ولی گویا در برخی روایات این مطلب وارد شده است. بر اساس سخن آقای سیستانی باید طهارت خبثیه هم از فرائض باشد در حالی که چنین نیست</w:t>
      </w:r>
      <w:r w:rsidR="003C70C3">
        <w:rPr>
          <w:rFonts w:ascii="IRBadr" w:hAnsi="IRBadr" w:cs="IRBadr" w:hint="cs"/>
          <w:sz w:val="34"/>
          <w:rtl/>
        </w:rPr>
        <w:t>، و قطعا از سنّت است</w:t>
      </w:r>
      <w:r>
        <w:rPr>
          <w:rFonts w:ascii="IRBadr" w:hAnsi="IRBadr" w:cs="IRBadr" w:hint="cs"/>
          <w:sz w:val="34"/>
          <w:rtl/>
        </w:rPr>
        <w:t xml:space="preserve">. طهارت خبثیه از مستثنیات «لا تعاد» نیست. شخصی که با لباس نجس از روی جهل نماز بخواند نمازش صحیح است. </w:t>
      </w:r>
    </w:p>
    <w:p w14:paraId="7D72BA56" w14:textId="35FA7078" w:rsidR="0012501A" w:rsidRDefault="00384C73" w:rsidP="00B07149">
      <w:pPr>
        <w:ind w:firstLine="397"/>
        <w:rPr>
          <w:rFonts w:ascii="IRBadr" w:hAnsi="IRBadr" w:cs="IRBadr"/>
          <w:sz w:val="34"/>
        </w:rPr>
      </w:pPr>
      <w:r>
        <w:rPr>
          <w:rFonts w:ascii="IRBadr" w:hAnsi="IRBadr" w:cs="IRBadr" w:hint="cs"/>
          <w:sz w:val="34"/>
          <w:rtl/>
        </w:rPr>
        <w:t xml:space="preserve">به نظر ما وجهی ندارد که قید «فی القرآن» در تعریف فریضه باشد. بله، آنچه </w:t>
      </w:r>
      <w:r w:rsidRPr="006218D4">
        <w:rPr>
          <w:rFonts w:ascii="IRLotus" w:hAnsi="IRLotus" w:cs="IRLotus"/>
          <w:sz w:val="34"/>
          <w:u w:val="single"/>
          <w:rtl/>
        </w:rPr>
        <w:t>وجوبش</w:t>
      </w:r>
      <w:r>
        <w:rPr>
          <w:rFonts w:ascii="IRBadr" w:hAnsi="IRBadr" w:cs="IRBadr" w:hint="cs"/>
          <w:sz w:val="34"/>
          <w:rtl/>
        </w:rPr>
        <w:t xml:space="preserve"> در قرآن </w:t>
      </w:r>
      <w:r w:rsidR="006218D4">
        <w:rPr>
          <w:rFonts w:ascii="IRBadr" w:hAnsi="IRBadr" w:cs="IRBadr" w:hint="cs"/>
          <w:sz w:val="34"/>
          <w:rtl/>
        </w:rPr>
        <w:t xml:space="preserve">ذکر شده </w:t>
      </w:r>
      <w:r>
        <w:rPr>
          <w:rFonts w:ascii="IRBadr" w:hAnsi="IRBadr" w:cs="IRBadr" w:hint="cs"/>
          <w:sz w:val="34"/>
          <w:rtl/>
        </w:rPr>
        <w:t xml:space="preserve">باشد، قطعا فریضه است. مثلا </w:t>
      </w:r>
      <w:r w:rsidRPr="006218D4">
        <w:rPr>
          <w:rFonts w:ascii="IRLotus" w:hAnsi="IRLotus" w:cs="IRLotus"/>
          <w:sz w:val="34"/>
          <w:u w:val="single"/>
          <w:rtl/>
        </w:rPr>
        <w:t>وجوب</w:t>
      </w:r>
      <w:r>
        <w:rPr>
          <w:rFonts w:ascii="IRBadr" w:hAnsi="IRBadr" w:cs="IRBadr" w:hint="cs"/>
          <w:sz w:val="34"/>
          <w:rtl/>
        </w:rPr>
        <w:t xml:space="preserve"> سجده برای نماز در قرآن وارد نشده است، هرچند با آیه </w:t>
      </w:r>
      <w:r w:rsidRPr="00384C73">
        <w:rPr>
          <w:rFonts w:ascii="IRBadr" w:hAnsi="IRBadr" w:cs="IRBadr" w:hint="cs"/>
          <w:b/>
          <w:bCs/>
          <w:color w:val="008000"/>
          <w:sz w:val="34"/>
          <w:rtl/>
        </w:rPr>
        <w:t xml:space="preserve">«أنّ المساجد للّه» </w:t>
      </w:r>
      <w:r>
        <w:rPr>
          <w:rFonts w:ascii="IRBadr" w:hAnsi="IRBadr" w:cs="IRBadr" w:hint="cs"/>
          <w:sz w:val="34"/>
          <w:rtl/>
        </w:rPr>
        <w:t>به آن اشاره شده است.</w:t>
      </w:r>
    </w:p>
    <w:p w14:paraId="048BD3E0" w14:textId="3A861623" w:rsidR="00111FE2" w:rsidRDefault="006218D4" w:rsidP="002C75ED">
      <w:pPr>
        <w:ind w:firstLine="397"/>
        <w:rPr>
          <w:rFonts w:ascii="IRBadr" w:hAnsi="IRBadr" w:cs="IRBadr"/>
          <w:sz w:val="34"/>
          <w:rtl/>
        </w:rPr>
      </w:pPr>
      <w:r>
        <w:rPr>
          <w:rFonts w:ascii="IRBadr" w:hAnsi="IRBadr" w:cs="IRBadr" w:hint="cs"/>
          <w:sz w:val="34"/>
          <w:rtl/>
        </w:rPr>
        <w:t>سوالی که مطرح می‌شود این است که آیا آنچه در قرآن واجب شمرده شده آیا لزوما فریضه است؟ ممکن است برخی امور توسط پیامبر اکرم (ص) جعل شده و در قرآن کریم تنفیذ شده باشد. این خود یک مشکله‌ای در بحث است. ما قبلا بیان می‌کردیم « کلّ ما أوجبه الله فی القرآن فهی فریضة، و لیس کل فریضة ممّا أوجبه الله فی القرآن»؛ یعنی ممکن است برخی امور فریضه باشد و توسط خداوند متعال جعل شده، ولی در قرآن وارد نشده؛ بلکه جعل الهی در سنّت ذکر شده باشد؛ مثل دو رکعت اول نمازهای چهار رکعتی. ولی الآن این مطلب به ذهن ما خطور کرد که آیا دلیلی وجود دارد که تمامی ایجاب‌های قرآن، ناظر به ایجاب ابتدایی خداوند است؟</w:t>
      </w:r>
    </w:p>
    <w:p w14:paraId="450C191A" w14:textId="7DDE84A1" w:rsidR="00C00F4D" w:rsidRDefault="00C00F4D" w:rsidP="002C75ED">
      <w:pPr>
        <w:ind w:firstLine="397"/>
        <w:rPr>
          <w:rFonts w:ascii="IRBadr" w:hAnsi="IRBadr" w:cs="IRBadr"/>
          <w:sz w:val="34"/>
          <w:rtl/>
        </w:rPr>
      </w:pPr>
      <w:r>
        <w:rPr>
          <w:rFonts w:ascii="IRBadr" w:hAnsi="IRBadr" w:cs="IRBadr" w:hint="cs"/>
          <w:sz w:val="34"/>
          <w:rtl/>
        </w:rPr>
        <w:t>در هر صورت، وجهی بر این سخن نیست که فریضه به «ما أوجبه الله فی القرآن» معنی شود. تقیید به «فی القرآن» دلیلی ندارد.</w:t>
      </w:r>
      <w:r w:rsidR="006E1D33">
        <w:rPr>
          <w:rFonts w:ascii="IRBadr" w:hAnsi="IRBadr" w:cs="IRBadr" w:hint="cs"/>
          <w:sz w:val="34"/>
          <w:rtl/>
        </w:rPr>
        <w:t xml:space="preserve"> </w:t>
      </w:r>
    </w:p>
    <w:p w14:paraId="5C931EBB" w14:textId="2A7FABDC" w:rsidR="006E1D33" w:rsidRPr="002F6262" w:rsidRDefault="006E1D33" w:rsidP="002C75ED">
      <w:pPr>
        <w:ind w:firstLine="397"/>
        <w:rPr>
          <w:rFonts w:ascii="IRBadr" w:hAnsi="IRBadr" w:cs="IRBadr"/>
          <w:sz w:val="34"/>
          <w:rtl/>
        </w:rPr>
      </w:pPr>
      <w:r>
        <w:rPr>
          <w:rFonts w:ascii="IRBadr" w:hAnsi="IRBadr" w:cs="IRBadr" w:hint="cs"/>
          <w:sz w:val="34"/>
          <w:rtl/>
        </w:rPr>
        <w:t>در مورد «لا تعاد» از چند مساله باید بحث کرد. یکی آنکه آیا جاهل، شامل جاهل به حکم هم می‌شود؟ فرد روشن این حدیث، جاهل به موضوع است.</w:t>
      </w:r>
      <w:r w:rsidR="00DF7E21">
        <w:rPr>
          <w:rFonts w:ascii="IRBadr" w:hAnsi="IRBadr" w:cs="IRBadr" w:hint="cs"/>
          <w:sz w:val="34"/>
          <w:rtl/>
        </w:rPr>
        <w:t xml:space="preserve"> مساله دیگر، تفاوت بین جاهل و غافل است. این دو بحث هم باید در رابطه با حدیث «لا تعاد» مورد توجه قرار گیرد.</w:t>
      </w:r>
    </w:p>
    <w:sectPr w:rsidR="006E1D33"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5CFD6" w14:textId="77777777" w:rsidR="007724AE" w:rsidRDefault="007724AE" w:rsidP="008B750B">
      <w:pPr>
        <w:spacing w:line="240" w:lineRule="auto"/>
      </w:pPr>
      <w:r>
        <w:separator/>
      </w:r>
    </w:p>
    <w:p w14:paraId="1DB302DC" w14:textId="77777777" w:rsidR="007724AE" w:rsidRDefault="007724AE"/>
  </w:endnote>
  <w:endnote w:type="continuationSeparator" w:id="0">
    <w:p w14:paraId="3D718551" w14:textId="77777777" w:rsidR="007724AE" w:rsidRDefault="007724AE" w:rsidP="008B750B">
      <w:pPr>
        <w:spacing w:line="240" w:lineRule="auto"/>
      </w:pPr>
      <w:r>
        <w:continuationSeparator/>
      </w:r>
    </w:p>
    <w:p w14:paraId="47145190" w14:textId="77777777" w:rsidR="007724AE" w:rsidRDefault="0077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566ED" w:rsidRPr="002566ED">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F5355" w14:textId="77777777" w:rsidR="007724AE" w:rsidRDefault="007724AE" w:rsidP="008B750B">
      <w:pPr>
        <w:spacing w:line="240" w:lineRule="auto"/>
      </w:pPr>
      <w:r>
        <w:separator/>
      </w:r>
    </w:p>
    <w:p w14:paraId="4B6CB7B9" w14:textId="77777777" w:rsidR="007724AE" w:rsidRDefault="007724AE"/>
  </w:footnote>
  <w:footnote w:type="continuationSeparator" w:id="0">
    <w:p w14:paraId="048D4318" w14:textId="77777777" w:rsidR="007724AE" w:rsidRDefault="007724AE" w:rsidP="008B750B">
      <w:pPr>
        <w:spacing w:line="240" w:lineRule="auto"/>
      </w:pPr>
      <w:r>
        <w:continuationSeparator/>
      </w:r>
    </w:p>
    <w:p w14:paraId="3A539FF9" w14:textId="77777777" w:rsidR="007724AE" w:rsidRDefault="007724AE"/>
  </w:footnote>
  <w:footnote w:id="1">
    <w:p w14:paraId="4168DDCE" w14:textId="00BC40BE" w:rsidR="007B194A" w:rsidRDefault="007B194A">
      <w:pPr>
        <w:pStyle w:val="FootnoteText"/>
      </w:pPr>
      <w:r>
        <w:rPr>
          <w:rStyle w:val="FootnoteReference"/>
        </w:rPr>
        <w:footnoteRef/>
      </w:r>
      <w:r>
        <w:rPr>
          <w:rtl/>
        </w:rPr>
        <w:t xml:space="preserve"> </w:t>
      </w:r>
      <w:r w:rsidRPr="007B194A">
        <w:rPr>
          <w:rtl/>
        </w:rPr>
        <w:t>رجال الكشي - إختيار معرفة الرجال ؛ النص ؛ ص536</w:t>
      </w:r>
    </w:p>
  </w:footnote>
  <w:footnote w:id="2">
    <w:p w14:paraId="4E8FAC11" w14:textId="181FC004" w:rsidR="00213D47" w:rsidRDefault="00213D47">
      <w:pPr>
        <w:pStyle w:val="FootnoteText"/>
      </w:pPr>
      <w:r>
        <w:rPr>
          <w:rStyle w:val="FootnoteReference"/>
        </w:rPr>
        <w:footnoteRef/>
      </w:r>
      <w:r>
        <w:rPr>
          <w:rtl/>
        </w:rPr>
        <w:t xml:space="preserve"> </w:t>
      </w:r>
      <w:r w:rsidRPr="00213D47">
        <w:rPr>
          <w:rtl/>
        </w:rPr>
        <w:t>مباحث الألفاظ ج۲،</w:t>
      </w:r>
      <w:r>
        <w:rPr>
          <w:rFonts w:hint="cs"/>
          <w:rtl/>
        </w:rPr>
        <w:t xml:space="preserve"> </w:t>
      </w:r>
      <w:r w:rsidRPr="00213D47">
        <w:rPr>
          <w:rtl/>
        </w:rPr>
        <w:t>ص۶۸۴</w:t>
      </w:r>
    </w:p>
  </w:footnote>
  <w:footnote w:id="3">
    <w:p w14:paraId="1269708D" w14:textId="0456E33E" w:rsidR="00D72B42" w:rsidRDefault="00D72B42">
      <w:pPr>
        <w:pStyle w:val="FootnoteText"/>
      </w:pPr>
      <w:r>
        <w:rPr>
          <w:rStyle w:val="FootnoteReference"/>
        </w:rPr>
        <w:footnoteRef/>
      </w:r>
      <w:r>
        <w:rPr>
          <w:rtl/>
        </w:rPr>
        <w:t xml:space="preserve"> </w:t>
      </w:r>
      <w:r w:rsidRPr="00D72B42">
        <w:rPr>
          <w:rtl/>
        </w:rPr>
        <w:t>الخصال، ج‏1، ص: 284</w:t>
      </w:r>
    </w:p>
  </w:footnote>
  <w:footnote w:id="4">
    <w:p w14:paraId="3BDB6A5F" w14:textId="5FCD8687" w:rsidR="00A03506" w:rsidRDefault="00A03506">
      <w:pPr>
        <w:pStyle w:val="FootnoteText"/>
      </w:pPr>
      <w:r>
        <w:rPr>
          <w:rStyle w:val="FootnoteReference"/>
        </w:rPr>
        <w:footnoteRef/>
      </w:r>
      <w:r>
        <w:rPr>
          <w:rtl/>
        </w:rPr>
        <w:t xml:space="preserve"> </w:t>
      </w:r>
      <w:r w:rsidRPr="00A03506">
        <w:rPr>
          <w:rtl/>
        </w:rPr>
        <w:t>كمال الدين و تمام النعمة، ج‏2، ص: 378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E0A"/>
    <w:rsid w:val="0006569B"/>
    <w:rsid w:val="00067C1C"/>
    <w:rsid w:val="00067FD3"/>
    <w:rsid w:val="000703BE"/>
    <w:rsid w:val="00070422"/>
    <w:rsid w:val="00070606"/>
    <w:rsid w:val="000719D3"/>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1FE2"/>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01A"/>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DF"/>
    <w:rsid w:val="00141470"/>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988"/>
    <w:rsid w:val="00157D0C"/>
    <w:rsid w:val="00157DED"/>
    <w:rsid w:val="001625AD"/>
    <w:rsid w:val="00162B3E"/>
    <w:rsid w:val="00162B9A"/>
    <w:rsid w:val="00163A1F"/>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577"/>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1CA"/>
    <w:rsid w:val="001C7699"/>
    <w:rsid w:val="001C7D18"/>
    <w:rsid w:val="001C7E84"/>
    <w:rsid w:val="001D0222"/>
    <w:rsid w:val="001D1314"/>
    <w:rsid w:val="001D2E9A"/>
    <w:rsid w:val="001D3546"/>
    <w:rsid w:val="001D3602"/>
    <w:rsid w:val="001D36A3"/>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2C9"/>
    <w:rsid w:val="001E7744"/>
    <w:rsid w:val="001E7C6E"/>
    <w:rsid w:val="001F08B7"/>
    <w:rsid w:val="001F16C5"/>
    <w:rsid w:val="001F18EF"/>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D47"/>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66ED"/>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1B23"/>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77A"/>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935"/>
    <w:rsid w:val="002C5BB9"/>
    <w:rsid w:val="002C716A"/>
    <w:rsid w:val="002C75ED"/>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3BB"/>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0A9B"/>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0B7E"/>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4C73"/>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0C3"/>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883"/>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2E48"/>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52"/>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4051"/>
    <w:rsid w:val="004B4DF8"/>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C7F31"/>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805"/>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211"/>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18D4"/>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97FCE"/>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4CD1"/>
    <w:rsid w:val="006D63D3"/>
    <w:rsid w:val="006D723F"/>
    <w:rsid w:val="006D76AA"/>
    <w:rsid w:val="006D78E1"/>
    <w:rsid w:val="006D7AA4"/>
    <w:rsid w:val="006D7F7B"/>
    <w:rsid w:val="006E0F56"/>
    <w:rsid w:val="006E16EA"/>
    <w:rsid w:val="006E1D33"/>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6C94"/>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3F72"/>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24AE"/>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194A"/>
    <w:rsid w:val="007B2F1A"/>
    <w:rsid w:val="007B4F13"/>
    <w:rsid w:val="007B5510"/>
    <w:rsid w:val="007B5555"/>
    <w:rsid w:val="007B55F3"/>
    <w:rsid w:val="007B5D4A"/>
    <w:rsid w:val="007B5F92"/>
    <w:rsid w:val="007B685F"/>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12D"/>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1732"/>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595"/>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BF4"/>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20E"/>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45DA"/>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0E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5B44"/>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506"/>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2961"/>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5E75"/>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149"/>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1A6A"/>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61D"/>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3F0E"/>
    <w:rsid w:val="00BF450F"/>
    <w:rsid w:val="00BF4EFD"/>
    <w:rsid w:val="00BF550D"/>
    <w:rsid w:val="00BF60A9"/>
    <w:rsid w:val="00BF7110"/>
    <w:rsid w:val="00C00F4D"/>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2B"/>
    <w:rsid w:val="00C54E74"/>
    <w:rsid w:val="00C55454"/>
    <w:rsid w:val="00C55B23"/>
    <w:rsid w:val="00C5788A"/>
    <w:rsid w:val="00C57970"/>
    <w:rsid w:val="00C57B5C"/>
    <w:rsid w:val="00C57C7C"/>
    <w:rsid w:val="00C57EE2"/>
    <w:rsid w:val="00C60558"/>
    <w:rsid w:val="00C61049"/>
    <w:rsid w:val="00C62439"/>
    <w:rsid w:val="00C62528"/>
    <w:rsid w:val="00C62FB8"/>
    <w:rsid w:val="00C63837"/>
    <w:rsid w:val="00C63B49"/>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727"/>
    <w:rsid w:val="00D10985"/>
    <w:rsid w:val="00D10998"/>
    <w:rsid w:val="00D10BAA"/>
    <w:rsid w:val="00D118E5"/>
    <w:rsid w:val="00D12505"/>
    <w:rsid w:val="00D13235"/>
    <w:rsid w:val="00D13701"/>
    <w:rsid w:val="00D1568A"/>
    <w:rsid w:val="00D15719"/>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41E4"/>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2B42"/>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28F"/>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B6D0E"/>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DF7E21"/>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1C43"/>
    <w:rsid w:val="00E127BA"/>
    <w:rsid w:val="00E12DAF"/>
    <w:rsid w:val="00E14828"/>
    <w:rsid w:val="00E15458"/>
    <w:rsid w:val="00E15BD9"/>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4A9C"/>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46E0"/>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525"/>
    <w:rsid w:val="00EC37AB"/>
    <w:rsid w:val="00EC3AA0"/>
    <w:rsid w:val="00EC3C7B"/>
    <w:rsid w:val="00EC59C8"/>
    <w:rsid w:val="00EC5AC7"/>
    <w:rsid w:val="00EC5C7F"/>
    <w:rsid w:val="00EC6345"/>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2CD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55B"/>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67A"/>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34B5"/>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4C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08012101">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093064">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6427370">
      <w:bodyDiv w:val="1"/>
      <w:marLeft w:val="0"/>
      <w:marRight w:val="0"/>
      <w:marTop w:val="0"/>
      <w:marBottom w:val="0"/>
      <w:divBdr>
        <w:top w:val="none" w:sz="0" w:space="0" w:color="000000"/>
        <w:left w:val="none" w:sz="0" w:space="0" w:color="000000"/>
        <w:bottom w:val="none" w:sz="0" w:space="0" w:color="000000"/>
        <w:right w:val="none" w:sz="0" w:space="0" w:color="000000"/>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6019170">
      <w:bodyDiv w:val="1"/>
      <w:marLeft w:val="0"/>
      <w:marRight w:val="0"/>
      <w:marTop w:val="0"/>
      <w:marBottom w:val="0"/>
      <w:divBdr>
        <w:top w:val="none" w:sz="0" w:space="0" w:color="000000"/>
        <w:left w:val="none" w:sz="0" w:space="0" w:color="000000"/>
        <w:bottom w:val="none" w:sz="0" w:space="0" w:color="000000"/>
        <w:right w:val="none" w:sz="0" w:space="0" w:color="000000"/>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66415749">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5689C-1487-42A1-BB1B-71906F8F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79006</TotalTime>
  <Pages>5</Pages>
  <Words>1873</Words>
  <Characters>10682</Characters>
  <Application>Microsoft Office Word</Application>
  <DocSecurity>0</DocSecurity>
  <Lines>89</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12530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1489</cp:revision>
  <cp:lastPrinted>2026-01-12T07:09:00Z</cp:lastPrinted>
  <dcterms:created xsi:type="dcterms:W3CDTF">2024-08-30T15:23:00Z</dcterms:created>
  <dcterms:modified xsi:type="dcterms:W3CDTF">2026-01-26T04:30:00Z</dcterms:modified>
  <cp:contentStatus>ویرایش 2.5</cp:contentStatus>
  <cp:version>2.7</cp:version>
</cp:coreProperties>
</file>