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C7A45" w14:textId="77777777" w:rsidR="00E22579" w:rsidRPr="0083204D" w:rsidRDefault="00E22579" w:rsidP="00E22579">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7EAB8D9E" w14:textId="6C62359B" w:rsidR="00E22579" w:rsidRPr="0083204D" w:rsidRDefault="00E22579" w:rsidP="00E22579">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10</w:t>
      </w:r>
      <w:r>
        <w:rPr>
          <w:rFonts w:ascii="IRANSans" w:hAnsi="IRANSans" w:cs="IRANSans" w:hint="cs"/>
          <w:b/>
          <w:bCs/>
          <w:color w:val="C00000"/>
          <w:sz w:val="28"/>
          <w:shd w:val="clear" w:color="auto" w:fill="FFFFFF"/>
          <w:rtl/>
          <w:lang w:val="x-none"/>
        </w:rPr>
        <w:t>20</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76</w:t>
      </w:r>
    </w:p>
    <w:p w14:paraId="1664DD76" w14:textId="77777777" w:rsidR="00E22579" w:rsidRDefault="00E22579" w:rsidP="00E22579">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1F19D040" w14:textId="338AAA85"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1649BEBB" w14:textId="3F8FEE6C" w:rsidR="00DC3B53" w:rsidRPr="00E22579" w:rsidRDefault="00EB7D96" w:rsidP="00DC3B53">
      <w:pPr>
        <w:ind w:firstLine="397"/>
        <w:rPr>
          <w:rFonts w:ascii="IRBadr" w:hAnsi="IRBadr" w:cs="IRBadr"/>
          <w:b/>
          <w:bCs/>
          <w:color w:val="00B050"/>
          <w:sz w:val="34"/>
        </w:rPr>
      </w:pPr>
      <w:bookmarkStart w:id="2" w:name="FehStart"/>
      <w:bookmarkEnd w:id="2"/>
      <w:r w:rsidRPr="00E22579">
        <w:rPr>
          <w:rFonts w:ascii="IRBadr" w:hAnsi="IRBadr" w:cs="IRBadr"/>
          <w:b/>
          <w:bCs/>
          <w:color w:val="00B050"/>
          <w:sz w:val="34"/>
          <w:rtl/>
        </w:rPr>
        <w:t>أعوذ باللّه من الشیطان الرجیم</w:t>
      </w:r>
      <w:r w:rsidRPr="00E22579">
        <w:rPr>
          <w:rFonts w:ascii="IRBadr" w:hAnsi="IRBadr" w:cs="IRBadr" w:hint="cs"/>
          <w:b/>
          <w:bCs/>
          <w:color w:val="00B050"/>
          <w:sz w:val="34"/>
          <w:rtl/>
        </w:rPr>
        <w:t>.</w:t>
      </w:r>
      <w:r w:rsidRPr="00E22579">
        <w:rPr>
          <w:rFonts w:ascii="IRBadr" w:hAnsi="IRBadr" w:cs="IRBadr"/>
          <w:b/>
          <w:bCs/>
          <w:color w:val="00B050"/>
          <w:sz w:val="34"/>
          <w:rtl/>
        </w:rPr>
        <w:t xml:space="preserve"> بسم ‌اللّه الرحمن الرحیم</w:t>
      </w:r>
      <w:r w:rsidRPr="00E22579">
        <w:rPr>
          <w:rFonts w:ascii="IRBadr" w:hAnsi="IRBadr" w:cs="IRBadr" w:hint="cs"/>
          <w:b/>
          <w:bCs/>
          <w:color w:val="00B050"/>
          <w:sz w:val="34"/>
          <w:rtl/>
        </w:rPr>
        <w:t>، و به نستعین؛ إنّه خیر ناصر و معین.</w:t>
      </w:r>
      <w:r w:rsidRPr="00E22579">
        <w:rPr>
          <w:rFonts w:ascii="IRBadr" w:hAnsi="IRBadr" w:cs="IRBadr"/>
          <w:b/>
          <w:bCs/>
          <w:color w:val="00B050"/>
          <w:sz w:val="34"/>
          <w:rtl/>
        </w:rPr>
        <w:t xml:space="preserve"> الحمد للّه ربّ العالمین</w:t>
      </w:r>
      <w:r w:rsidRPr="00E22579">
        <w:rPr>
          <w:rFonts w:ascii="IRBadr" w:hAnsi="IRBadr" w:cs="IRBadr" w:hint="cs"/>
          <w:b/>
          <w:bCs/>
          <w:color w:val="00B050"/>
          <w:sz w:val="34"/>
          <w:rtl/>
        </w:rPr>
        <w:t>،</w:t>
      </w:r>
      <w:r w:rsidRPr="00E22579">
        <w:rPr>
          <w:rFonts w:ascii="IRBadr" w:hAnsi="IRBadr" w:cs="IRBadr"/>
          <w:b/>
          <w:bCs/>
          <w:color w:val="00B050"/>
          <w:sz w:val="34"/>
          <w:rtl/>
        </w:rPr>
        <w:t xml:space="preserve"> و صلّی اللّه علی سیّدنا </w:t>
      </w:r>
      <w:r w:rsidRPr="00E22579">
        <w:rPr>
          <w:rFonts w:ascii="IRBadr" w:hAnsi="IRBadr" w:cs="IRBadr" w:hint="cs"/>
          <w:b/>
          <w:bCs/>
          <w:color w:val="00B050"/>
          <w:sz w:val="34"/>
          <w:rtl/>
        </w:rPr>
        <w:t xml:space="preserve">و نبیّنا </w:t>
      </w:r>
      <w:r w:rsidRPr="00E22579">
        <w:rPr>
          <w:rFonts w:ascii="IRBadr" w:hAnsi="IRBadr" w:cs="IRBadr"/>
          <w:b/>
          <w:bCs/>
          <w:color w:val="00B050"/>
          <w:sz w:val="34"/>
          <w:rtl/>
        </w:rPr>
        <w:t>محمّد و آله الطاهرین</w:t>
      </w:r>
      <w:r w:rsidRPr="00E22579">
        <w:rPr>
          <w:rFonts w:ascii="IRBadr" w:hAnsi="IRBadr" w:cs="IRBadr" w:hint="cs"/>
          <w:b/>
          <w:bCs/>
          <w:color w:val="00B050"/>
          <w:sz w:val="34"/>
          <w:rtl/>
        </w:rPr>
        <w:t>،</w:t>
      </w:r>
      <w:r w:rsidRPr="00E22579">
        <w:rPr>
          <w:rFonts w:ascii="IRBadr" w:hAnsi="IRBadr" w:cs="IRBadr"/>
          <w:b/>
          <w:bCs/>
          <w:color w:val="00B050"/>
          <w:sz w:val="34"/>
          <w:rtl/>
        </w:rPr>
        <w:t xml:space="preserve"> و اللعن علی أعدائهم أجمعین</w:t>
      </w:r>
      <w:r w:rsidRPr="00E22579">
        <w:rPr>
          <w:rFonts w:ascii="IRBadr" w:hAnsi="IRBadr" w:cs="IRBadr" w:hint="cs"/>
          <w:b/>
          <w:bCs/>
          <w:color w:val="00B050"/>
          <w:sz w:val="34"/>
          <w:rtl/>
        </w:rPr>
        <w:t xml:space="preserve"> من الآن إلی قیام یوم الدین</w:t>
      </w:r>
      <w:r w:rsidRPr="00E22579">
        <w:rPr>
          <w:rFonts w:ascii="IRBadr" w:hAnsi="IRBadr" w:cs="IRBadr"/>
          <w:b/>
          <w:bCs/>
          <w:color w:val="00B050"/>
          <w:sz w:val="34"/>
          <w:rtl/>
        </w:rPr>
        <w:t>.</w:t>
      </w:r>
    </w:p>
    <w:p w14:paraId="0FBA7530" w14:textId="29C31D84" w:rsidR="00B8605A" w:rsidRDefault="00850386" w:rsidP="00B8605A">
      <w:pPr>
        <w:pStyle w:val="Heading1"/>
        <w:rPr>
          <w:rtl/>
        </w:rPr>
      </w:pPr>
      <w:bookmarkStart w:id="3" w:name="_Toc220885370"/>
      <w:bookmarkStart w:id="4" w:name="_Toc220932034"/>
      <w:bookmarkStart w:id="5" w:name="_Toc220932188"/>
      <w:bookmarkStart w:id="6" w:name="_Toc220932202"/>
      <w:r>
        <w:rPr>
          <w:rFonts w:hint="cs"/>
          <w:rtl/>
        </w:rPr>
        <w:t>بررسی فقره «لا تنقض السنّة الفریضة»</w:t>
      </w:r>
      <w:bookmarkEnd w:id="3"/>
      <w:bookmarkEnd w:id="4"/>
      <w:bookmarkEnd w:id="5"/>
      <w:bookmarkEnd w:id="6"/>
    </w:p>
    <w:p w14:paraId="1F7098F5" w14:textId="3D502912" w:rsidR="00B8605A" w:rsidRDefault="00B8605A" w:rsidP="00DC3B53">
      <w:pPr>
        <w:ind w:firstLine="397"/>
        <w:rPr>
          <w:rFonts w:ascii="IRBadr" w:hAnsi="IRBadr" w:cs="IRBadr"/>
          <w:sz w:val="34"/>
          <w:rtl/>
        </w:rPr>
      </w:pPr>
      <w:r>
        <w:rPr>
          <w:rFonts w:ascii="IRBadr" w:hAnsi="IRBadr" w:cs="IRBadr" w:hint="cs"/>
          <w:sz w:val="34"/>
          <w:rtl/>
        </w:rPr>
        <w:t xml:space="preserve">در اینکه حدیث «لا تعاد» دال بر اجزا است بحثی نیست. بحث در دایره شمول این حدیث است. برخی تعلیل مذکور در ذیل این حدیث را شامل غیر نماز هم دانسته‌اند که به نظر ما سخن تمامی نیست. توضیح این مطلب در جلسه گذشته بیان شد. </w:t>
      </w:r>
    </w:p>
    <w:p w14:paraId="47446264" w14:textId="5582D356" w:rsidR="00850386" w:rsidRDefault="00850386" w:rsidP="00850386">
      <w:pPr>
        <w:pStyle w:val="Heading2"/>
        <w:rPr>
          <w:rtl/>
        </w:rPr>
      </w:pPr>
      <w:bookmarkStart w:id="7" w:name="_Toc220885371"/>
      <w:bookmarkStart w:id="8" w:name="_Toc220932035"/>
      <w:bookmarkStart w:id="9" w:name="_Toc220932189"/>
      <w:bookmarkStart w:id="10" w:name="_Toc220932203"/>
      <w:r>
        <w:rPr>
          <w:rFonts w:hint="cs"/>
          <w:rtl/>
        </w:rPr>
        <w:t>کلمات علما در بیان تفاوت فریضه و سنّت</w:t>
      </w:r>
      <w:bookmarkEnd w:id="7"/>
      <w:bookmarkEnd w:id="8"/>
      <w:bookmarkEnd w:id="9"/>
      <w:bookmarkEnd w:id="10"/>
    </w:p>
    <w:p w14:paraId="6B8ECFF4" w14:textId="77777777" w:rsidR="00850386" w:rsidRDefault="00B8605A" w:rsidP="00DC3B53">
      <w:pPr>
        <w:ind w:firstLine="397"/>
        <w:rPr>
          <w:rFonts w:ascii="IRBadr" w:hAnsi="IRBadr" w:cs="IRBadr"/>
          <w:sz w:val="34"/>
          <w:rtl/>
        </w:rPr>
      </w:pPr>
      <w:r>
        <w:rPr>
          <w:rFonts w:ascii="IRBadr" w:hAnsi="IRBadr" w:cs="IRBadr" w:hint="cs"/>
          <w:sz w:val="34"/>
          <w:rtl/>
        </w:rPr>
        <w:t xml:space="preserve">مطلب دیگری که باید مورد بررسی قرار گیرد، تفاوت فرض و سنّت است. از زمان قدیم معروف است که فرض به معنای چیزی است که وجوبش با قرآن ثابت شده، و فرض چیزی است که وجوبش با سنّت ثابت گشته است. معنای دیگری که برای فرض بیان شده «ما کان فی القرآن» است که اعم از واجب و مستحب است، یعنی «ما ثبتت مشروعیّته فی القرآن». </w:t>
      </w:r>
    </w:p>
    <w:p w14:paraId="29AD50CA" w14:textId="4BB73165" w:rsidR="00850386" w:rsidRDefault="00850386" w:rsidP="00850386">
      <w:pPr>
        <w:pStyle w:val="Heading3"/>
        <w:rPr>
          <w:rtl/>
        </w:rPr>
      </w:pPr>
      <w:bookmarkStart w:id="11" w:name="_Toc220885372"/>
      <w:bookmarkStart w:id="12" w:name="_Toc220932036"/>
      <w:bookmarkStart w:id="13" w:name="_Toc220932190"/>
      <w:bookmarkStart w:id="14" w:name="_Toc220932204"/>
      <w:r>
        <w:rPr>
          <w:rFonts w:hint="cs"/>
          <w:rtl/>
        </w:rPr>
        <w:t>کلام شیخ طوسی در تهذیب و استبصار</w:t>
      </w:r>
      <w:bookmarkEnd w:id="11"/>
      <w:bookmarkEnd w:id="12"/>
      <w:bookmarkEnd w:id="13"/>
      <w:bookmarkEnd w:id="14"/>
    </w:p>
    <w:p w14:paraId="5DC9559D" w14:textId="60CCBE4C" w:rsidR="00B8605A" w:rsidRDefault="00B8605A" w:rsidP="00DC3B53">
      <w:pPr>
        <w:ind w:firstLine="397"/>
        <w:rPr>
          <w:rFonts w:ascii="IRBadr" w:hAnsi="IRBadr" w:cs="IRBadr"/>
          <w:sz w:val="34"/>
          <w:rtl/>
        </w:rPr>
      </w:pPr>
      <w:r>
        <w:rPr>
          <w:rFonts w:ascii="IRBadr" w:hAnsi="IRBadr" w:cs="IRBadr" w:hint="cs"/>
          <w:sz w:val="34"/>
          <w:rtl/>
        </w:rPr>
        <w:t>معنای اولی که بیان شد نخستین بار در کلمات شیخ طوسی وارد شده است. شیخ در تهذیب در ذیل یک روایت که تعبیر فریضة و سنّت در آن به کار رفته مطلبی بیان نموده است. این روایت و عبارت شیخ طوسی به شرح زیر است:</w:t>
      </w:r>
    </w:p>
    <w:p w14:paraId="66FE87E5" w14:textId="19FD8E72" w:rsidR="00B8605A" w:rsidRPr="00B8605A" w:rsidRDefault="00B8605A" w:rsidP="00DC3B53">
      <w:pPr>
        <w:ind w:firstLine="397"/>
        <w:rPr>
          <w:rFonts w:ascii="IRBadr" w:hAnsi="IRBadr" w:cs="IRBadr"/>
          <w:color w:val="008000"/>
          <w:sz w:val="34"/>
        </w:rPr>
      </w:pPr>
      <w:r>
        <w:rPr>
          <w:rFonts w:ascii="IRBadr" w:hAnsi="IRBadr" w:cs="IRBadr" w:hint="cs"/>
          <w:sz w:val="34"/>
          <w:rtl/>
        </w:rPr>
        <w:t>«</w:t>
      </w:r>
      <w:r w:rsidRPr="00B8605A">
        <w:rPr>
          <w:rFonts w:ascii="IRBadr" w:hAnsi="IRBadr" w:cs="IRBadr"/>
          <w:sz w:val="34"/>
          <w:rtl/>
        </w:rPr>
        <w:t xml:space="preserve">مُحَمَّدُ بْنُ أَحْمَدَ بْنِ يَحْيَى عَنِ الْحُسَيْنِ بْنِ الْحَسَنِ اللُّؤْلُؤِيِّ عَنْ أَحْمَدَ بْنِ مُحَمَّدٍ عَنْ سَعْدِ بْنِ أَبِي خَلَفٍ قَالَ سَمِعْتُ أَبَا عَبْدِ اللَّهِ ع يَقُولُ </w:t>
      </w:r>
      <w:r w:rsidRPr="00B8605A">
        <w:rPr>
          <w:rFonts w:ascii="IRBadr" w:hAnsi="IRBadr" w:cs="IRBadr"/>
          <w:color w:val="008000"/>
          <w:sz w:val="34"/>
          <w:rtl/>
        </w:rPr>
        <w:t>الْغُسْلُ فِي أَرْبَعَةَ عَشَرَ مَوْطِناً وَاحِدٌ فَرِيضَةٌ وَ الْبَاقِي سُنَّةٌ.</w:t>
      </w:r>
    </w:p>
    <w:p w14:paraId="55262A84" w14:textId="00F48EAB" w:rsidR="00B8605A" w:rsidRDefault="00B8605A" w:rsidP="00DC3B53">
      <w:pPr>
        <w:ind w:firstLine="397"/>
        <w:rPr>
          <w:rFonts w:ascii="IRBadr" w:hAnsi="IRBadr" w:cs="IRBadr"/>
          <w:sz w:val="34"/>
        </w:rPr>
      </w:pPr>
      <w:r w:rsidRPr="00B8605A">
        <w:rPr>
          <w:rFonts w:ascii="IRBadr" w:hAnsi="IRBadr" w:cs="IRBadr"/>
          <w:color w:val="000080"/>
          <w:sz w:val="34"/>
          <w:rtl/>
        </w:rPr>
        <w:t>فَالْمُرَادُ بِهِ أَنَّهُ لَيْسَ بِفَرْضِ الْمَذْكُورِ بِظَاهِرِ اللَّفْظِ فِي الْقُرْآنِ وَ إِنْ جَازَ أَنْ تَثْبُتَ بِالسُّنَّةِ أَغْسَالٌ أُخَرُ مُفْتَرَضَةٌ وَ قَدْ بَيَّنَّا مَا وَرَدَ مِنْ جِهَةِ السُّنَّةِ مِمَّا يَتَضَمَّنُ وُجُوبَ هَذِهِ الْأَغْسَالِ</w:t>
      </w:r>
      <w:r>
        <w:rPr>
          <w:rFonts w:ascii="IRBadr" w:hAnsi="IRBadr" w:cs="IRBadr" w:hint="cs"/>
          <w:sz w:val="34"/>
          <w:rtl/>
        </w:rPr>
        <w:t>»</w:t>
      </w:r>
      <w:r>
        <w:rPr>
          <w:rStyle w:val="FootnoteReference"/>
          <w:rFonts w:ascii="IRBadr" w:hAnsi="IRBadr" w:cs="IRBadr"/>
          <w:sz w:val="34"/>
          <w:rtl/>
        </w:rPr>
        <w:footnoteReference w:id="1"/>
      </w:r>
      <w:r w:rsidRPr="00B8605A">
        <w:rPr>
          <w:rFonts w:ascii="IRBadr" w:hAnsi="IRBadr" w:cs="IRBadr"/>
          <w:sz w:val="34"/>
          <w:rtl/>
        </w:rPr>
        <w:t>.</w:t>
      </w:r>
    </w:p>
    <w:p w14:paraId="4111EF24" w14:textId="7FE5C8CC" w:rsidR="00B8605A" w:rsidRDefault="00B8605A" w:rsidP="00DC3B53">
      <w:pPr>
        <w:ind w:firstLine="397"/>
        <w:rPr>
          <w:rFonts w:ascii="IRBadr" w:hAnsi="IRBadr" w:cs="IRBadr"/>
          <w:sz w:val="34"/>
          <w:rtl/>
        </w:rPr>
      </w:pPr>
      <w:r>
        <w:rPr>
          <w:rFonts w:ascii="IRBadr" w:hAnsi="IRBadr" w:cs="IRBadr" w:hint="cs"/>
          <w:sz w:val="34"/>
          <w:rtl/>
        </w:rPr>
        <w:t>همچنین شیخ در استبصار در ذیل همین حدیث آورده است:</w:t>
      </w:r>
    </w:p>
    <w:p w14:paraId="2D5531FF" w14:textId="4DEED49F" w:rsidR="00B8605A" w:rsidRDefault="00B8605A" w:rsidP="00DC3B53">
      <w:pPr>
        <w:ind w:firstLine="397"/>
        <w:rPr>
          <w:rFonts w:ascii="IRBadr" w:hAnsi="IRBadr" w:cs="IRBadr"/>
          <w:sz w:val="34"/>
          <w:rtl/>
        </w:rPr>
      </w:pPr>
      <w:r w:rsidRPr="00B8605A">
        <w:rPr>
          <w:rFonts w:ascii="IRBadr" w:hAnsi="IRBadr" w:cs="IRBadr" w:hint="cs"/>
          <w:color w:val="000080"/>
          <w:sz w:val="34"/>
          <w:rtl/>
        </w:rPr>
        <w:lastRenderedPageBreak/>
        <w:t>«</w:t>
      </w:r>
      <w:r w:rsidRPr="00B8605A">
        <w:rPr>
          <w:rFonts w:ascii="IRBadr" w:hAnsi="IRBadr" w:cs="IRBadr"/>
          <w:color w:val="000080"/>
          <w:sz w:val="34"/>
          <w:rtl/>
        </w:rPr>
        <w:t>فَالْمَعْنَى فِيهِ أَنَّ وَاحِداً مِنْهَا فَرِيضَةٌ بِظَاهِرِ الْقُرْآنِ وَ إِنْ كَانَتْ هُنَاكَ أَغْسَالٌ أُخَرُ يُعْلَمُ فَرْضُهَا بِالسُّنَّةِ</w:t>
      </w:r>
      <w:r w:rsidRPr="00B8605A">
        <w:rPr>
          <w:rFonts w:ascii="IRBadr" w:hAnsi="IRBadr" w:cs="IRBadr" w:hint="cs"/>
          <w:color w:val="000080"/>
          <w:sz w:val="34"/>
          <w:rtl/>
        </w:rPr>
        <w:t>»</w:t>
      </w:r>
      <w:r>
        <w:rPr>
          <w:rStyle w:val="FootnoteReference"/>
          <w:rFonts w:ascii="IRBadr" w:hAnsi="IRBadr" w:cs="IRBadr"/>
          <w:sz w:val="34"/>
          <w:rtl/>
        </w:rPr>
        <w:footnoteReference w:id="2"/>
      </w:r>
      <w:r w:rsidRPr="00B8605A">
        <w:rPr>
          <w:rFonts w:ascii="IRBadr" w:hAnsi="IRBadr" w:cs="IRBadr"/>
          <w:sz w:val="34"/>
          <w:rtl/>
        </w:rPr>
        <w:t>.</w:t>
      </w:r>
    </w:p>
    <w:p w14:paraId="5E5FA4F0" w14:textId="6F177A46" w:rsidR="00850386" w:rsidRDefault="00850386" w:rsidP="00850386">
      <w:pPr>
        <w:pStyle w:val="Heading3"/>
        <w:rPr>
          <w:rtl/>
        </w:rPr>
      </w:pPr>
      <w:bookmarkStart w:id="15" w:name="_Toc220885373"/>
      <w:bookmarkStart w:id="16" w:name="_Toc220932037"/>
      <w:bookmarkStart w:id="17" w:name="_Toc220932191"/>
      <w:bookmarkStart w:id="18" w:name="_Toc220932205"/>
      <w:r>
        <w:rPr>
          <w:rFonts w:hint="cs"/>
          <w:rtl/>
        </w:rPr>
        <w:t>کلام مرحوم محمد تقی مجلسی در روضة المتقین و لوامع صاحبقرانی</w:t>
      </w:r>
      <w:bookmarkEnd w:id="15"/>
      <w:bookmarkEnd w:id="16"/>
      <w:bookmarkEnd w:id="17"/>
      <w:bookmarkEnd w:id="18"/>
    </w:p>
    <w:p w14:paraId="45EFF537" w14:textId="68071492" w:rsidR="00B8605A" w:rsidRDefault="00B8605A" w:rsidP="00DC3B53">
      <w:pPr>
        <w:ind w:firstLine="397"/>
        <w:rPr>
          <w:rFonts w:ascii="IRBadr" w:hAnsi="IRBadr" w:cs="IRBadr"/>
          <w:sz w:val="34"/>
          <w:rtl/>
        </w:rPr>
      </w:pPr>
      <w:r>
        <w:rPr>
          <w:rFonts w:ascii="IRBadr" w:hAnsi="IRBadr" w:cs="IRBadr" w:hint="cs"/>
          <w:sz w:val="34"/>
          <w:rtl/>
        </w:rPr>
        <w:t>مرحوم مجلسی در روضة المتقین دو معنایی که برای فریضه ذکر شد را آورده است. ایشان روایتی از زراره را نقل کرده و آن را شرح کرده است. عبارت وی بدین شرح است:</w:t>
      </w:r>
    </w:p>
    <w:p w14:paraId="1935D8DC" w14:textId="41CD2C64" w:rsidR="004C1277" w:rsidRDefault="00B8605A" w:rsidP="00DC3B53">
      <w:pPr>
        <w:ind w:firstLine="397"/>
        <w:rPr>
          <w:rFonts w:ascii="IRBadr" w:hAnsi="IRBadr" w:cs="IRBadr"/>
          <w:color w:val="000080"/>
          <w:sz w:val="34"/>
        </w:rPr>
      </w:pPr>
      <w:r w:rsidRPr="00B8605A">
        <w:rPr>
          <w:rFonts w:ascii="IRBadr" w:hAnsi="IRBadr" w:cs="IRBadr" w:hint="cs"/>
          <w:color w:val="000080"/>
          <w:sz w:val="34"/>
          <w:rtl/>
        </w:rPr>
        <w:t>«</w:t>
      </w:r>
      <w:r w:rsidRPr="00B8605A">
        <w:rPr>
          <w:rFonts w:ascii="IRBadr" w:hAnsi="IRBadr" w:cs="IRBadr"/>
          <w:color w:val="000080"/>
          <w:sz w:val="34"/>
          <w:rtl/>
        </w:rPr>
        <w:t xml:space="preserve">روى الكليني و الشيخ في الصحيح، عن زرارة قال: سألت أبا جعفر عليه السلام عن الفرض في الصلاة، فقال: </w:t>
      </w:r>
      <w:r w:rsidRPr="004C1277">
        <w:rPr>
          <w:rFonts w:ascii="IRBadr" w:hAnsi="IRBadr" w:cs="IRBadr"/>
          <w:color w:val="008000"/>
          <w:sz w:val="34"/>
          <w:rtl/>
        </w:rPr>
        <w:t>الوقت، و الطهور</w:t>
      </w:r>
      <w:r w:rsidRPr="004C1277">
        <w:rPr>
          <w:rFonts w:ascii="IRBadr" w:hAnsi="IRBadr" w:cs="IRBadr"/>
          <w:color w:val="008000"/>
          <w:sz w:val="34"/>
        </w:rPr>
        <w:t xml:space="preserve"> </w:t>
      </w:r>
      <w:r w:rsidRPr="004C1277">
        <w:rPr>
          <w:rFonts w:ascii="IRBadr" w:hAnsi="IRBadr" w:cs="IRBadr"/>
          <w:color w:val="008000"/>
          <w:sz w:val="34"/>
          <w:rtl/>
        </w:rPr>
        <w:t>و القبلة و التوجه، و الركوع و السجود و الدعاء: قلت فما سوى ذلك فقال: سنة في فريضة</w:t>
      </w:r>
      <w:r w:rsidR="004C1277">
        <w:rPr>
          <w:rFonts w:ascii="IRBadr" w:hAnsi="IRBadr" w:cs="IRBadr" w:hint="cs"/>
          <w:color w:val="008000"/>
          <w:sz w:val="34"/>
          <w:rtl/>
        </w:rPr>
        <w:t>.</w:t>
      </w:r>
      <w:r w:rsidRPr="00B8605A">
        <w:rPr>
          <w:rFonts w:ascii="IRBadr" w:hAnsi="IRBadr" w:cs="IRBadr"/>
          <w:color w:val="000080"/>
          <w:sz w:val="34"/>
          <w:rtl/>
        </w:rPr>
        <w:t xml:space="preserve"> </w:t>
      </w:r>
    </w:p>
    <w:p w14:paraId="72AD0864" w14:textId="41CE6919" w:rsidR="00B8605A" w:rsidRDefault="00B8605A" w:rsidP="00DC3B53">
      <w:pPr>
        <w:ind w:firstLine="397"/>
        <w:rPr>
          <w:rFonts w:ascii="IRBadr" w:hAnsi="IRBadr" w:cs="IRBadr"/>
          <w:sz w:val="34"/>
          <w:rtl/>
        </w:rPr>
      </w:pPr>
      <w:r w:rsidRPr="00B8605A">
        <w:rPr>
          <w:rFonts w:ascii="IRBadr" w:hAnsi="IRBadr" w:cs="IRBadr"/>
          <w:color w:val="000080"/>
          <w:sz w:val="34"/>
          <w:rtl/>
        </w:rPr>
        <w:t>الظاهر أن المراد بالفريضة ما ظهر وجوبها من القرآن، و بالسنة مقابلها كما في أكثر الإطلاقات في الأخبار، أو ما ورد في القرآن أعم من أن يكون شرطا أو جزءا واجبا أو مندوبا</w:t>
      </w:r>
      <w:r w:rsidR="004C1277">
        <w:rPr>
          <w:rFonts w:ascii="IRBadr" w:hAnsi="IRBadr" w:cs="IRBadr" w:hint="cs"/>
          <w:color w:val="000080"/>
          <w:sz w:val="34"/>
          <w:rtl/>
        </w:rPr>
        <w:t>،</w:t>
      </w:r>
      <w:r w:rsidRPr="00B8605A">
        <w:rPr>
          <w:rFonts w:ascii="IRBadr" w:hAnsi="IRBadr" w:cs="IRBadr"/>
          <w:color w:val="000080"/>
          <w:sz w:val="34"/>
          <w:rtl/>
        </w:rPr>
        <w:t xml:space="preserve"> و ير</w:t>
      </w:r>
      <w:r w:rsidR="004C1277">
        <w:rPr>
          <w:rFonts w:ascii="IRBadr" w:hAnsi="IRBadr" w:cs="IRBadr" w:hint="cs"/>
          <w:color w:val="000080"/>
          <w:sz w:val="34"/>
          <w:rtl/>
        </w:rPr>
        <w:t>ِ</w:t>
      </w:r>
      <w:r w:rsidRPr="00B8605A">
        <w:rPr>
          <w:rFonts w:ascii="IRBadr" w:hAnsi="IRBadr" w:cs="IRBadr"/>
          <w:color w:val="000080"/>
          <w:sz w:val="34"/>
          <w:rtl/>
        </w:rPr>
        <w:t>د</w:t>
      </w:r>
      <w:r w:rsidR="004C1277">
        <w:rPr>
          <w:rFonts w:ascii="IRBadr" w:hAnsi="IRBadr" w:cs="IRBadr" w:hint="cs"/>
          <w:color w:val="000080"/>
          <w:sz w:val="34"/>
          <w:rtl/>
        </w:rPr>
        <w:t>ُ</w:t>
      </w:r>
      <w:r w:rsidRPr="00B8605A">
        <w:rPr>
          <w:rFonts w:ascii="IRBadr" w:hAnsi="IRBadr" w:cs="IRBadr"/>
          <w:color w:val="000080"/>
          <w:sz w:val="34"/>
          <w:rtl/>
        </w:rPr>
        <w:t xml:space="preserve"> بمعنى الواجب أيضا</w:t>
      </w:r>
      <w:r w:rsidRPr="00B8605A">
        <w:rPr>
          <w:rFonts w:ascii="IRBadr" w:hAnsi="IRBadr" w:cs="IRBadr" w:hint="cs"/>
          <w:color w:val="000080"/>
          <w:sz w:val="34"/>
          <w:rtl/>
        </w:rPr>
        <w:t>»</w:t>
      </w:r>
      <w:r>
        <w:rPr>
          <w:rStyle w:val="FootnoteReference"/>
          <w:rFonts w:ascii="IRBadr" w:hAnsi="IRBadr" w:cs="IRBadr"/>
          <w:color w:val="000080"/>
          <w:sz w:val="34"/>
          <w:rtl/>
        </w:rPr>
        <w:footnoteReference w:id="3"/>
      </w:r>
      <w:r w:rsidRPr="00B8605A">
        <w:rPr>
          <w:rFonts w:ascii="IRBadr" w:hAnsi="IRBadr" w:cs="IRBadr"/>
          <w:sz w:val="34"/>
          <w:rtl/>
        </w:rPr>
        <w:t>.</w:t>
      </w:r>
    </w:p>
    <w:p w14:paraId="21F0AD2C" w14:textId="444492B8" w:rsidR="00AE3FBF" w:rsidRDefault="008F207F" w:rsidP="00AE3FBF">
      <w:pPr>
        <w:ind w:firstLine="397"/>
        <w:rPr>
          <w:rFonts w:ascii="IRBadr" w:hAnsi="IRBadr" w:cs="IRBadr"/>
          <w:sz w:val="34"/>
        </w:rPr>
      </w:pPr>
      <w:r>
        <w:rPr>
          <w:rFonts w:ascii="IRBadr" w:hAnsi="IRBadr" w:cs="IRBadr" w:hint="cs"/>
          <w:sz w:val="34"/>
          <w:rtl/>
        </w:rPr>
        <w:t xml:space="preserve">مرحوم مجلسی </w:t>
      </w:r>
      <w:r w:rsidR="006126C1">
        <w:rPr>
          <w:rFonts w:ascii="IRBadr" w:hAnsi="IRBadr" w:cs="IRBadr" w:hint="cs"/>
          <w:sz w:val="34"/>
          <w:rtl/>
        </w:rPr>
        <w:t xml:space="preserve">اول </w:t>
      </w:r>
      <w:r>
        <w:rPr>
          <w:rFonts w:ascii="IRBadr" w:hAnsi="IRBadr" w:cs="IRBadr" w:hint="cs"/>
          <w:sz w:val="34"/>
          <w:rtl/>
        </w:rPr>
        <w:t>در لوامع صاحبقرانی نیز این مطلب را بیان کرده است:</w:t>
      </w:r>
      <w:r w:rsidR="00AE3FBF">
        <w:rPr>
          <w:rFonts w:ascii="IRBadr" w:hAnsi="IRBadr" w:cs="IRBadr"/>
          <w:sz w:val="34"/>
        </w:rPr>
        <w:t xml:space="preserve"> </w:t>
      </w:r>
    </w:p>
    <w:p w14:paraId="056CD5AA" w14:textId="77777777" w:rsidR="00B44748" w:rsidRPr="00B44748" w:rsidRDefault="00AE3FBF" w:rsidP="00B44748">
      <w:pPr>
        <w:ind w:firstLine="397"/>
        <w:rPr>
          <w:rFonts w:ascii="IRBadr" w:hAnsi="IRBadr" w:cs="IRBadr"/>
          <w:color w:val="000080"/>
          <w:sz w:val="34"/>
          <w:rtl/>
        </w:rPr>
      </w:pPr>
      <w:r w:rsidRPr="00AE3FBF">
        <w:rPr>
          <w:rFonts w:ascii="IRBadr" w:hAnsi="IRBadr" w:cs="IRBadr" w:hint="cs"/>
          <w:color w:val="000080"/>
          <w:sz w:val="34"/>
          <w:rtl/>
        </w:rPr>
        <w:t>«</w:t>
      </w:r>
      <w:r w:rsidRPr="00AE3FBF">
        <w:rPr>
          <w:rFonts w:ascii="IRBadr" w:hAnsi="IRBadr" w:cs="IRBadr"/>
          <w:color w:val="000080"/>
          <w:sz w:val="34"/>
          <w:rtl/>
        </w:rPr>
        <w:t>فريضه</w:t>
      </w:r>
      <w:r>
        <w:rPr>
          <w:rFonts w:ascii="IRBadr" w:hAnsi="IRBadr" w:cs="IRBadr" w:hint="cs"/>
          <w:color w:val="000080"/>
          <w:sz w:val="34"/>
          <w:rtl/>
        </w:rPr>
        <w:t>‌ه</w:t>
      </w:r>
      <w:r w:rsidRPr="00AE3FBF">
        <w:rPr>
          <w:rFonts w:ascii="IRBadr" w:hAnsi="IRBadr" w:cs="IRBadr"/>
          <w:color w:val="000080"/>
          <w:sz w:val="34"/>
          <w:rtl/>
        </w:rPr>
        <w:t>اى نماز عبارت است از چيزى چند كه نماز بدون آن صحيح نباشد اعم از آن كه شرط باشد يا</w:t>
      </w:r>
      <w:r>
        <w:rPr>
          <w:rFonts w:ascii="IRBadr" w:hAnsi="IRBadr" w:cs="IRBadr" w:hint="cs"/>
          <w:color w:val="000080"/>
          <w:sz w:val="34"/>
          <w:rtl/>
        </w:rPr>
        <w:t xml:space="preserve"> </w:t>
      </w:r>
      <w:r w:rsidRPr="00AE3FBF">
        <w:rPr>
          <w:rFonts w:ascii="IRBadr" w:hAnsi="IRBadr" w:cs="IRBadr"/>
          <w:color w:val="000080"/>
          <w:sz w:val="34"/>
          <w:rtl/>
        </w:rPr>
        <w:t>ركن و محتمل</w:t>
      </w:r>
      <w:r>
        <w:rPr>
          <w:rFonts w:ascii="IRBadr" w:hAnsi="IRBadr" w:cs="IRBadr" w:hint="cs"/>
          <w:color w:val="000080"/>
          <w:sz w:val="34"/>
          <w:rtl/>
        </w:rPr>
        <w:t xml:space="preserve"> ا</w:t>
      </w:r>
      <w:r w:rsidRPr="00AE3FBF">
        <w:rPr>
          <w:rFonts w:ascii="IRBadr" w:hAnsi="IRBadr" w:cs="IRBadr"/>
          <w:color w:val="000080"/>
          <w:sz w:val="34"/>
          <w:rtl/>
        </w:rPr>
        <w:t>ست كه مراد از آن چيزى چند باشد كه حق سبحانه و تعالى آنها را در قرآن مجيد ياد كرده باشد اعم از آن كه واجب باشد يا سنت‏</w:t>
      </w:r>
      <w:r w:rsidR="00B44748">
        <w:rPr>
          <w:rFonts w:ascii="IRBadr" w:hAnsi="IRBadr" w:cs="IRBadr" w:hint="cs"/>
          <w:color w:val="000080"/>
          <w:sz w:val="34"/>
          <w:rtl/>
        </w:rPr>
        <w:t xml:space="preserve">. </w:t>
      </w:r>
      <w:r w:rsidR="00B44748" w:rsidRPr="00B44748">
        <w:rPr>
          <w:rFonts w:ascii="IRBadr" w:hAnsi="IRBadr" w:cs="IRBadr"/>
          <w:color w:val="000080"/>
          <w:sz w:val="34"/>
          <w:rtl/>
        </w:rPr>
        <w:t>و فرايض نماز هفت است:</w:t>
      </w:r>
    </w:p>
    <w:p w14:paraId="18A07E5B" w14:textId="77777777" w:rsidR="00B44748" w:rsidRDefault="00B44748" w:rsidP="00B44748">
      <w:pPr>
        <w:ind w:firstLine="397"/>
        <w:rPr>
          <w:rFonts w:ascii="IRBadr" w:hAnsi="IRBadr" w:cs="IRBadr"/>
          <w:color w:val="000080"/>
          <w:sz w:val="34"/>
          <w:rtl/>
        </w:rPr>
      </w:pPr>
      <w:r w:rsidRPr="00B44748">
        <w:rPr>
          <w:rFonts w:ascii="IRBadr" w:hAnsi="IRBadr" w:cs="IRBadr"/>
          <w:color w:val="000080"/>
          <w:sz w:val="34"/>
          <w:rtl/>
        </w:rPr>
        <w:t xml:space="preserve">اول: وقتست </w:t>
      </w:r>
      <w:r>
        <w:rPr>
          <w:rFonts w:ascii="IRBadr" w:hAnsi="IRBadr" w:cs="IRBadr" w:hint="cs"/>
          <w:color w:val="000080"/>
          <w:sz w:val="34"/>
          <w:rtl/>
        </w:rPr>
        <w:t>...</w:t>
      </w:r>
    </w:p>
    <w:p w14:paraId="1EF6C852" w14:textId="231C819B" w:rsidR="008F207F" w:rsidRDefault="00B44748" w:rsidP="00B44748">
      <w:pPr>
        <w:ind w:firstLine="397"/>
        <w:rPr>
          <w:rFonts w:ascii="IRBadr" w:hAnsi="IRBadr" w:cs="IRBadr"/>
          <w:sz w:val="34"/>
          <w:rtl/>
        </w:rPr>
      </w:pPr>
      <w:r w:rsidRPr="00B44748">
        <w:rPr>
          <w:rFonts w:ascii="IRBadr" w:hAnsi="IRBadr" w:cs="IRBadr"/>
          <w:color w:val="000080"/>
          <w:sz w:val="34"/>
          <w:rtl/>
        </w:rPr>
        <w:t xml:space="preserve">هفتم: دعاست بعضى گفته‏اند كه قنوتست و واجب است چنانكه صدوق قايلست به آن، و بنا بر قولى كه فريضه را اعم از واجب و سنت گيريم همين بس است كه حق سبحانه و تعالى در قرآن مجيد به آن امر كرده است و خواهد آمد، و بعضى گفته‏اند كه سوره حمد است كه بترك آن عمدا نماز باطل مى‏شود و بنا بر اين فريضه را بمعنى واجب مى‏بايد گرفت نه واجبى كه از قرآن ظاهر شده باشد </w:t>
      </w:r>
      <w:r w:rsidR="00AE3FBF" w:rsidRPr="00AE3FBF">
        <w:rPr>
          <w:rFonts w:ascii="IRBadr" w:hAnsi="IRBadr" w:cs="IRBadr" w:hint="cs"/>
          <w:color w:val="000080"/>
          <w:sz w:val="34"/>
          <w:rtl/>
        </w:rPr>
        <w:t>»</w:t>
      </w:r>
      <w:r w:rsidR="00AE3FBF">
        <w:rPr>
          <w:rStyle w:val="FootnoteReference"/>
          <w:rFonts w:ascii="IRBadr" w:hAnsi="IRBadr" w:cs="IRBadr"/>
          <w:sz w:val="34"/>
          <w:rtl/>
        </w:rPr>
        <w:footnoteReference w:id="4"/>
      </w:r>
      <w:r w:rsidR="00AE3FBF">
        <w:rPr>
          <w:rFonts w:ascii="IRBadr" w:hAnsi="IRBadr" w:cs="IRBadr" w:hint="cs"/>
          <w:sz w:val="34"/>
          <w:rtl/>
        </w:rPr>
        <w:t>.</w:t>
      </w:r>
    </w:p>
    <w:p w14:paraId="17A4DA86" w14:textId="0416C658" w:rsidR="00B44748" w:rsidRDefault="00B44748" w:rsidP="00B44748">
      <w:pPr>
        <w:ind w:firstLine="397"/>
        <w:rPr>
          <w:rFonts w:ascii="IRBadr" w:hAnsi="IRBadr" w:cs="IRBadr"/>
          <w:sz w:val="34"/>
          <w:rtl/>
        </w:rPr>
      </w:pPr>
      <w:r>
        <w:rPr>
          <w:rFonts w:ascii="IRBadr" w:hAnsi="IRBadr" w:cs="IRBadr" w:hint="cs"/>
          <w:sz w:val="34"/>
          <w:rtl/>
        </w:rPr>
        <w:t>مرحوم مجلسی سه معنای فریضه و سنّت را در این عبارت ذکر کرده است. این سه معنای فریضه بدین شرح است:</w:t>
      </w:r>
    </w:p>
    <w:p w14:paraId="78C3DAA8" w14:textId="1EF590AF" w:rsidR="00B44748" w:rsidRDefault="00B44748" w:rsidP="00B44748">
      <w:pPr>
        <w:ind w:firstLine="397"/>
        <w:rPr>
          <w:rFonts w:ascii="IRBadr" w:hAnsi="IRBadr" w:cs="IRBadr"/>
          <w:sz w:val="34"/>
          <w:rtl/>
        </w:rPr>
      </w:pPr>
      <w:r>
        <w:rPr>
          <w:rFonts w:ascii="IRBadr" w:hAnsi="IRBadr" w:cs="IRBadr" w:hint="cs"/>
          <w:sz w:val="34"/>
          <w:rtl/>
        </w:rPr>
        <w:t>اول: واجب.</w:t>
      </w:r>
    </w:p>
    <w:p w14:paraId="0ED10D54" w14:textId="0AED5464" w:rsidR="00B44748" w:rsidRDefault="00B44748" w:rsidP="00B44748">
      <w:pPr>
        <w:ind w:firstLine="397"/>
        <w:rPr>
          <w:rFonts w:ascii="IRBadr" w:hAnsi="IRBadr" w:cs="IRBadr"/>
          <w:sz w:val="34"/>
          <w:rtl/>
        </w:rPr>
      </w:pPr>
      <w:r>
        <w:rPr>
          <w:rFonts w:ascii="IRBadr" w:hAnsi="IRBadr" w:cs="IRBadr" w:hint="cs"/>
          <w:sz w:val="34"/>
          <w:rtl/>
        </w:rPr>
        <w:t>دوم: واجبی که در قرآن وجوبش ذکر شده است.</w:t>
      </w:r>
    </w:p>
    <w:p w14:paraId="4DCB2471" w14:textId="72BABB66" w:rsidR="00B44748" w:rsidRDefault="00B44748" w:rsidP="00B44748">
      <w:pPr>
        <w:ind w:firstLine="397"/>
        <w:rPr>
          <w:rFonts w:ascii="IRBadr" w:hAnsi="IRBadr" w:cs="IRBadr"/>
          <w:sz w:val="34"/>
          <w:rtl/>
        </w:rPr>
      </w:pPr>
      <w:r>
        <w:rPr>
          <w:rFonts w:ascii="IRBadr" w:hAnsi="IRBadr" w:cs="IRBadr" w:hint="cs"/>
          <w:sz w:val="34"/>
          <w:rtl/>
        </w:rPr>
        <w:t>سوم: آنچه در قرآن ذکر شده اعم از آنکه واجب باشد یا مستحب.</w:t>
      </w:r>
    </w:p>
    <w:p w14:paraId="00B42E85" w14:textId="39BEACD2" w:rsidR="00850386" w:rsidRDefault="00850386" w:rsidP="00850386">
      <w:pPr>
        <w:pStyle w:val="Heading3"/>
        <w:rPr>
          <w:rtl/>
        </w:rPr>
      </w:pPr>
      <w:bookmarkStart w:id="19" w:name="_Toc220885374"/>
      <w:bookmarkStart w:id="20" w:name="_Toc220932038"/>
      <w:bookmarkStart w:id="21" w:name="_Toc220932192"/>
      <w:bookmarkStart w:id="22" w:name="_Toc220932206"/>
      <w:r>
        <w:rPr>
          <w:rFonts w:hint="cs"/>
          <w:rtl/>
        </w:rPr>
        <w:t>کلام علامه مجلسی در ملاذ الأخیار و بحار الأنوار</w:t>
      </w:r>
      <w:bookmarkEnd w:id="19"/>
      <w:bookmarkEnd w:id="20"/>
      <w:bookmarkEnd w:id="21"/>
      <w:bookmarkEnd w:id="22"/>
    </w:p>
    <w:p w14:paraId="782ECD07" w14:textId="16FC36F4" w:rsidR="00FD581A" w:rsidRDefault="00850386" w:rsidP="00B44748">
      <w:pPr>
        <w:ind w:firstLine="397"/>
        <w:rPr>
          <w:rFonts w:ascii="IRBadr" w:hAnsi="IRBadr" w:cs="IRBadr"/>
          <w:sz w:val="34"/>
        </w:rPr>
      </w:pPr>
      <w:r>
        <w:rPr>
          <w:rFonts w:ascii="IRBadr" w:hAnsi="IRBadr" w:cs="IRBadr" w:hint="cs"/>
          <w:sz w:val="34"/>
          <w:rtl/>
        </w:rPr>
        <w:t>تقیید فرض به «فی القرآن» در</w:t>
      </w:r>
      <w:r w:rsidR="00B44748">
        <w:rPr>
          <w:rFonts w:ascii="IRBadr" w:hAnsi="IRBadr" w:cs="IRBadr" w:hint="cs"/>
          <w:sz w:val="34"/>
          <w:rtl/>
        </w:rPr>
        <w:t xml:space="preserve"> ملاذ الأخیار نیز ذکر شده است:</w:t>
      </w:r>
    </w:p>
    <w:p w14:paraId="3A4738D9" w14:textId="1CA0DC15" w:rsidR="00B44748" w:rsidRDefault="00B44748" w:rsidP="00B44748">
      <w:pPr>
        <w:ind w:firstLine="397"/>
        <w:rPr>
          <w:rFonts w:ascii="IRBadr" w:hAnsi="IRBadr" w:cs="IRBadr"/>
          <w:sz w:val="34"/>
          <w:rtl/>
        </w:rPr>
      </w:pPr>
      <w:r w:rsidRPr="00B44748">
        <w:rPr>
          <w:rFonts w:ascii="IRBadr" w:hAnsi="IRBadr" w:cs="IRBadr" w:hint="cs"/>
          <w:color w:val="000080"/>
          <w:sz w:val="34"/>
          <w:rtl/>
        </w:rPr>
        <w:t>«</w:t>
      </w:r>
      <w:r w:rsidRPr="00B44748">
        <w:rPr>
          <w:rFonts w:ascii="IRBadr" w:hAnsi="IRBadr" w:cs="IRBadr"/>
          <w:color w:val="000080"/>
          <w:sz w:val="34"/>
          <w:rtl/>
        </w:rPr>
        <w:t>قوله: عن الفرض في الصلاة أي: ما ظهر من القرآن، سواء كان واجبا أو مستحبا، فلا ينافي استحباب القنوت</w:t>
      </w:r>
      <w:r w:rsidRPr="00B44748">
        <w:rPr>
          <w:rFonts w:ascii="IRBadr" w:hAnsi="IRBadr" w:cs="IRBadr" w:hint="cs"/>
          <w:color w:val="000080"/>
          <w:sz w:val="34"/>
          <w:rtl/>
        </w:rPr>
        <w:t>»</w:t>
      </w:r>
      <w:r>
        <w:rPr>
          <w:rStyle w:val="FootnoteReference"/>
          <w:rFonts w:ascii="IRBadr" w:hAnsi="IRBadr" w:cs="IRBadr"/>
          <w:color w:val="000080"/>
          <w:sz w:val="34"/>
          <w:rtl/>
        </w:rPr>
        <w:footnoteReference w:id="5"/>
      </w:r>
      <w:r>
        <w:rPr>
          <w:rFonts w:ascii="IRBadr" w:hAnsi="IRBadr" w:cs="IRBadr" w:hint="cs"/>
          <w:sz w:val="34"/>
          <w:rtl/>
        </w:rPr>
        <w:t>.</w:t>
      </w:r>
    </w:p>
    <w:p w14:paraId="6227DC1B" w14:textId="481348B7" w:rsidR="00862B58" w:rsidRDefault="00862B58" w:rsidP="00B44748">
      <w:pPr>
        <w:ind w:firstLine="397"/>
        <w:rPr>
          <w:rFonts w:ascii="IRBadr" w:hAnsi="IRBadr" w:cs="IRBadr"/>
          <w:sz w:val="34"/>
          <w:rtl/>
        </w:rPr>
      </w:pPr>
      <w:r>
        <w:rPr>
          <w:rFonts w:ascii="IRBadr" w:hAnsi="IRBadr" w:cs="IRBadr" w:hint="cs"/>
          <w:sz w:val="34"/>
          <w:rtl/>
        </w:rPr>
        <w:t>این عبارت در شرح روایت زراره است که قنوت در آن روایت فرض شمرده شده است. مرحوم مجلسی بیان کرده که فرض بودن قنوت منافاتی با استحباب آن ندارد؛ چرا که فرض به معنای چیزی است که در قرآن وارد شده است.</w:t>
      </w:r>
    </w:p>
    <w:p w14:paraId="28C0E446" w14:textId="64D4FD63" w:rsidR="00B8605A" w:rsidRDefault="00862B58" w:rsidP="00862B58">
      <w:pPr>
        <w:ind w:firstLine="397"/>
        <w:rPr>
          <w:rFonts w:ascii="IRBadr" w:hAnsi="IRBadr" w:cs="IRBadr"/>
          <w:sz w:val="34"/>
          <w:rtl/>
        </w:rPr>
      </w:pPr>
      <w:r>
        <w:rPr>
          <w:rFonts w:ascii="IRBadr" w:hAnsi="IRBadr" w:cs="IRBadr" w:hint="cs"/>
          <w:sz w:val="34"/>
          <w:rtl/>
        </w:rPr>
        <w:lastRenderedPageBreak/>
        <w:t xml:space="preserve">علامه مجلسی در بحار آورده است: </w:t>
      </w:r>
      <w:r w:rsidRPr="00862B58">
        <w:rPr>
          <w:rFonts w:ascii="IRBadr" w:hAnsi="IRBadr" w:cs="IRBadr" w:hint="cs"/>
          <w:color w:val="000080"/>
          <w:sz w:val="34"/>
          <w:rtl/>
        </w:rPr>
        <w:t>«</w:t>
      </w:r>
      <w:r w:rsidRPr="00862B58">
        <w:rPr>
          <w:rFonts w:ascii="IRBadr" w:hAnsi="IRBadr" w:cs="IRBadr"/>
          <w:color w:val="000080"/>
          <w:sz w:val="34"/>
          <w:rtl/>
        </w:rPr>
        <w:t>و المراد بالفرض ما ظهر وجوبه بالقرآن أو شرعيته أعم‏</w:t>
      </w:r>
      <w:r w:rsidRPr="00862B58">
        <w:rPr>
          <w:rFonts w:ascii="IRBadr" w:hAnsi="IRBadr" w:cs="IRBadr"/>
          <w:color w:val="000080"/>
          <w:sz w:val="34"/>
        </w:rPr>
        <w:t xml:space="preserve"> </w:t>
      </w:r>
      <w:r w:rsidRPr="00862B58">
        <w:rPr>
          <w:rFonts w:ascii="IRBadr" w:hAnsi="IRBadr" w:cs="IRBadr"/>
          <w:color w:val="000080"/>
          <w:sz w:val="34"/>
          <w:rtl/>
        </w:rPr>
        <w:t>من الوجوب و الاستحباب</w:t>
      </w:r>
      <w:r w:rsidRPr="00862B58">
        <w:rPr>
          <w:rFonts w:ascii="IRBadr" w:hAnsi="IRBadr" w:cs="IRBadr" w:hint="cs"/>
          <w:color w:val="000080"/>
          <w:sz w:val="34"/>
          <w:rtl/>
        </w:rPr>
        <w:t>»</w:t>
      </w:r>
      <w:r>
        <w:rPr>
          <w:rStyle w:val="FootnoteReference"/>
          <w:rFonts w:ascii="IRBadr" w:hAnsi="IRBadr" w:cs="IRBadr"/>
          <w:color w:val="000080"/>
          <w:sz w:val="34"/>
          <w:rtl/>
        </w:rPr>
        <w:footnoteReference w:id="6"/>
      </w:r>
      <w:r>
        <w:rPr>
          <w:rFonts w:ascii="IRBadr" w:hAnsi="IRBadr" w:cs="IRBadr" w:hint="cs"/>
          <w:sz w:val="34"/>
          <w:rtl/>
        </w:rPr>
        <w:t>.</w:t>
      </w:r>
    </w:p>
    <w:p w14:paraId="5A09BB7F" w14:textId="50FE7E46" w:rsidR="00850386" w:rsidRDefault="00850386" w:rsidP="00850386">
      <w:pPr>
        <w:pStyle w:val="Heading2"/>
        <w:rPr>
          <w:rtl/>
        </w:rPr>
      </w:pPr>
      <w:bookmarkStart w:id="23" w:name="_Toc220885375"/>
      <w:bookmarkStart w:id="24" w:name="_Toc220932039"/>
      <w:bookmarkStart w:id="25" w:name="_Toc220932193"/>
      <w:bookmarkStart w:id="26" w:name="_Toc220932207"/>
      <w:r>
        <w:rPr>
          <w:rFonts w:hint="cs"/>
          <w:rtl/>
        </w:rPr>
        <w:t>بررسی اعتبار قید «فی القرآن» در معنای فریضه</w:t>
      </w:r>
      <w:bookmarkEnd w:id="23"/>
      <w:bookmarkEnd w:id="24"/>
      <w:bookmarkEnd w:id="25"/>
      <w:bookmarkEnd w:id="26"/>
    </w:p>
    <w:p w14:paraId="4045A85A" w14:textId="3652AFBF" w:rsidR="00862B58" w:rsidRDefault="00862B58" w:rsidP="00862B58">
      <w:pPr>
        <w:ind w:firstLine="397"/>
        <w:rPr>
          <w:rFonts w:ascii="IRBadr" w:hAnsi="IRBadr" w:cs="IRBadr"/>
          <w:sz w:val="34"/>
          <w:rtl/>
        </w:rPr>
      </w:pPr>
      <w:r>
        <w:rPr>
          <w:rFonts w:ascii="IRBadr" w:hAnsi="IRBadr" w:cs="IRBadr" w:hint="cs"/>
          <w:sz w:val="34"/>
          <w:rtl/>
        </w:rPr>
        <w:t xml:space="preserve">در عبارات فقهای بعدی نیز تعابیر زیادی وارد شده است که از ذکر آنها صرف نظر می‌نماییم. ما هنوز دلیل روشنی نیافتیم که اثبات نماید قید «فی القرآن» در معنای فرض معتبر است. معلوم نیست این قید از کجا آمده است. بله، یک مطلب ممکن است بیان شود که </w:t>
      </w:r>
      <w:r w:rsidR="00606DB9">
        <w:rPr>
          <w:rFonts w:ascii="IRBadr" w:hAnsi="IRBadr" w:cs="IRBadr" w:hint="cs"/>
          <w:sz w:val="34"/>
          <w:rtl/>
        </w:rPr>
        <w:t>معنای چهارمی برای فرض است، که از مفاد برخی روایات هم استفاده می‌شود. معنای چهارم آن است که واجبات بر دو قسم هستند؛ برخی از آنها توسط خداوند متعال و برخی دیگر توسط نبی مکرم (ص) جعل شده است. البته ائمه علیهم السلام نیز حق تشریع داشته‌اند ولی از آن حق یا اصلا استفاده نکرده‌اند و یا آنکه در موارد بسیار نادری استفاده نموده‌اند. به‌عنوان مثال در صحیحه فضیل بن یسار پس از آنکه بیان شده که خداوند متعال امر دین و امّت را به رسول الله (ص) واگذار نموده آمده است:</w:t>
      </w:r>
    </w:p>
    <w:p w14:paraId="1D2CFD8B" w14:textId="326340F2" w:rsidR="00606DB9" w:rsidRDefault="00606DB9" w:rsidP="00862B58">
      <w:pPr>
        <w:ind w:firstLine="397"/>
        <w:rPr>
          <w:rFonts w:ascii="IRBadr" w:hAnsi="IRBadr" w:cs="IRBadr"/>
          <w:sz w:val="34"/>
          <w:rtl/>
        </w:rPr>
      </w:pPr>
      <w:r w:rsidRPr="00606DB9">
        <w:rPr>
          <w:rFonts w:ascii="IRBadr" w:hAnsi="IRBadr" w:cs="IRBadr" w:hint="cs"/>
          <w:color w:val="008000"/>
          <w:sz w:val="34"/>
          <w:rtl/>
        </w:rPr>
        <w:t>«</w:t>
      </w:r>
      <w:r w:rsidRPr="00606DB9">
        <w:rPr>
          <w:rFonts w:ascii="IRBadr" w:hAnsi="IRBadr" w:cs="IRBadr"/>
          <w:color w:val="008000"/>
          <w:sz w:val="34"/>
          <w:rtl/>
        </w:rPr>
        <w:t>ثُمَّ إِنَّ اللَّهَ عَزَّ وَ جَلَّ فَرَضَ الصَّلَاةَ رَكْعَتَيْنِ رَكْعَتَيْنِ عَشْرَ رَكَعَاتٍ فَأَضَافَ رَسُولُ اللَّهِ ص إِلَى الرَّكْعَتَيْنِ رَكْعَتَيْنِ وَ إِلَى الْمَغْرِبِ رَكْعَةً فَصَارَتْ عَدِيلَ الْفَرِيضَةِ</w:t>
      </w:r>
      <w:r>
        <w:rPr>
          <w:rFonts w:ascii="IRBadr" w:hAnsi="IRBadr" w:cs="IRBadr" w:hint="cs"/>
          <w:color w:val="008000"/>
          <w:sz w:val="34"/>
          <w:rtl/>
        </w:rPr>
        <w:t>،</w:t>
      </w:r>
      <w:r w:rsidRPr="00606DB9">
        <w:rPr>
          <w:rFonts w:ascii="IRBadr" w:hAnsi="IRBadr" w:cs="IRBadr"/>
          <w:color w:val="008000"/>
          <w:sz w:val="34"/>
          <w:rtl/>
        </w:rPr>
        <w:t xml:space="preserve"> لَا يَجُوزُ تَرْكُهُنَّ إِلَّا فِي سَفَرٍ وَ أَفْرَدَ الرَّكْعَةَ فِي الْمَغْرِبِ فَتَرَكَهَا قَائِمَةً فِي السَّفَرِ وَ الْحَضَرِ فَأَجَازَ اللَّهُ عَزَّ وَ جَلَّ لَهُ ذَلِكَ كُلَّهُ فَصَارَتِ الْفَرِيضَةُ سَبْعَ عَشْرَةَ رَكْعَةً</w:t>
      </w:r>
      <w:r>
        <w:rPr>
          <w:rFonts w:ascii="IRBadr" w:hAnsi="IRBadr" w:cs="IRBadr" w:hint="cs"/>
          <w:color w:val="008000"/>
          <w:sz w:val="34"/>
          <w:rtl/>
        </w:rPr>
        <w:t xml:space="preserve"> </w:t>
      </w:r>
      <w:r w:rsidRPr="00606DB9">
        <w:rPr>
          <w:rFonts w:ascii="IRBadr" w:hAnsi="IRBadr" w:cs="IRBadr"/>
          <w:color w:val="008000"/>
          <w:sz w:val="34"/>
          <w:rtl/>
        </w:rPr>
        <w:t>ً ثُمَّ سَنَّ رَسُولُ اللَّهِ ص النَّوَافِلَ أَرْبَعاً وَ ثَلَاثِينَ رَكْعَةً مِثْلَيِ الْفَرِيضَةِ فَأَجَازَ اللَّهُ عَزَّ وَ جَلَّ لَهُ ذَلِك‏</w:t>
      </w:r>
      <w:r>
        <w:rPr>
          <w:rFonts w:ascii="IRBadr" w:hAnsi="IRBadr" w:cs="IRBadr" w:hint="cs"/>
          <w:color w:val="008000"/>
          <w:sz w:val="34"/>
          <w:rtl/>
        </w:rPr>
        <w:t>....</w:t>
      </w:r>
      <w:r w:rsidRPr="00606DB9">
        <w:rPr>
          <w:rFonts w:ascii="IRBadr" w:hAnsi="IRBadr" w:cs="IRBadr"/>
          <w:color w:val="008000"/>
          <w:sz w:val="34"/>
          <w:rtl/>
        </w:rPr>
        <w:t xml:space="preserve"> وَ فَرَضَ اللَّهُ فِي السَّنَةِ صَوْمَ شَهْرِ رَمَضَانَ وَ سَنَّ رَسُولُ اللَّهِ ص صَوْمَ شَعْبَانَ وَ ثَلَاثَةَ أَيَّامٍ فِي كُلِّ شَهْرٍ مِثْلَيِ الْفَرِيضَةِ فَأَجَازَ اللَّهُ عَزَّ وَ جَلَّ لَهُ ذَلِكَ وَ حَرَّمَ اللَّهُ عَزَّ وَ جَلَّ الْخَمْرَ بِعَيْنِهَا وَ حَرَّمَ رَسُولُ اللَّهِ ص الْمُسْكِرَ مِنْ كُلِّ شَرَابٍ فَأَجَازَ اللَّهُ لَهُ ذَلِكَ كُلَّهُ</w:t>
      </w:r>
      <w:r>
        <w:rPr>
          <w:rFonts w:ascii="IRBadr" w:hAnsi="IRBadr" w:cs="IRBadr" w:hint="cs"/>
          <w:color w:val="008000"/>
          <w:sz w:val="34"/>
          <w:rtl/>
        </w:rPr>
        <w:t>...</w:t>
      </w:r>
      <w:r w:rsidRPr="00606DB9">
        <w:rPr>
          <w:rFonts w:ascii="IRBadr" w:hAnsi="IRBadr" w:cs="IRBadr" w:hint="cs"/>
          <w:color w:val="008000"/>
          <w:sz w:val="34"/>
          <w:rtl/>
        </w:rPr>
        <w:t>»</w:t>
      </w:r>
      <w:r>
        <w:rPr>
          <w:rStyle w:val="FootnoteReference"/>
          <w:rFonts w:ascii="IRBadr" w:hAnsi="IRBadr" w:cs="IRBadr"/>
          <w:color w:val="008000"/>
          <w:sz w:val="34"/>
          <w:rtl/>
        </w:rPr>
        <w:footnoteReference w:id="7"/>
      </w:r>
      <w:r>
        <w:rPr>
          <w:rFonts w:ascii="IRBadr" w:hAnsi="IRBadr" w:cs="IRBadr" w:hint="cs"/>
          <w:sz w:val="34"/>
          <w:rtl/>
        </w:rPr>
        <w:t>.</w:t>
      </w:r>
    </w:p>
    <w:p w14:paraId="4D4AFB59" w14:textId="3AAB9071" w:rsidR="00606DB9" w:rsidRDefault="00606DB9" w:rsidP="0092465B">
      <w:pPr>
        <w:ind w:firstLine="397"/>
        <w:rPr>
          <w:rFonts w:ascii="IRBadr" w:hAnsi="IRBadr" w:cs="IRBadr"/>
          <w:sz w:val="34"/>
          <w:rtl/>
        </w:rPr>
      </w:pPr>
      <w:r>
        <w:rPr>
          <w:rFonts w:ascii="IRBadr" w:hAnsi="IRBadr" w:cs="IRBadr" w:hint="cs"/>
          <w:sz w:val="34"/>
          <w:rtl/>
        </w:rPr>
        <w:t xml:space="preserve">فریضه در این روایت به معنای ما فرض الله عزّوجلّ نیست بلکه اعم از </w:t>
      </w:r>
      <w:r w:rsidR="00C33686">
        <w:rPr>
          <w:rFonts w:ascii="IRBadr" w:hAnsi="IRBadr" w:cs="IRBadr" w:hint="cs"/>
          <w:sz w:val="34"/>
          <w:rtl/>
        </w:rPr>
        <w:t>ما فرض الله عزوجلّ و ما فرض النبی (ص) است، و سنّت به معنای مستحبّ است. غرض آنکه از روایات استفاده می‌شود که برخی امور، تشریع رسول الله (ص) است. بنابراین محتمل است مراد از فرض: «ما فرض الله عزوجلّ» و مراد از سنّت: «ما شرّعه النبی (ص)» باشد اعم از آنکه واجب یا مستحب باشد. این معنی محتمل است. البته این معنی قطعی نیست ولی احتمال آن وجود دارد، ولی اینکه مراد از فرض، «ما فرض الله فی القرآن» باشد، هیچ شاهدی در روایات ندارد. البته این روشن است که فرض در مقابل سنّت است و از روایات زیادی این مطلب قابل استفاده است. همچنین اطلاق سنّت بر برخی واجبات نیز از مطالبی است که به طور روشن از برخی روایات استفاده می‌شود؛ مثلا وقوف در عرفات در روایات به عنوان سنّت و وقوف در مشعر به عنوان فریضه بیان شده است. تردیدی نیست که وقوف در عرفات واجب و از ارکان حج است. اما اعتبار قید «فی القرآن» در فریضه و اعتبار قید «فی السنّة» در سنّت، شاهدی ندارد.</w:t>
      </w:r>
      <w:r w:rsidR="0092465B">
        <w:rPr>
          <w:rFonts w:ascii="IRBadr" w:hAnsi="IRBadr" w:cs="IRBadr" w:hint="cs"/>
          <w:sz w:val="34"/>
          <w:rtl/>
        </w:rPr>
        <w:t xml:space="preserve"> این مطلب تنها در کلام شیخ طوسی مورد اشاره قرار گرفته است.</w:t>
      </w:r>
    </w:p>
    <w:p w14:paraId="62D12361" w14:textId="6234BA7A" w:rsidR="0092465B" w:rsidRDefault="0092465B" w:rsidP="0092465B">
      <w:pPr>
        <w:ind w:firstLine="397"/>
        <w:rPr>
          <w:rFonts w:ascii="IRBadr" w:hAnsi="IRBadr" w:cs="IRBadr"/>
          <w:sz w:val="34"/>
          <w:rtl/>
        </w:rPr>
      </w:pPr>
      <w:r>
        <w:rPr>
          <w:rFonts w:ascii="IRBadr" w:hAnsi="IRBadr" w:cs="IRBadr" w:hint="cs"/>
          <w:sz w:val="34"/>
          <w:rtl/>
        </w:rPr>
        <w:t>البته توجه شود که شیخ طوسی نیز در مقام بیان معنای فریضه و سنّت نیست. ایشان بیان کرده که گاهی فرض و سنّت مجازا به این معنی اطلاق می‌شود. آنچه شیخ طوسی بیان کرده در واقع، حمل روایت بر این معنی است، نه آنکه بیانگر یکی از معانی فرض و سنّت باشد. آنچه از کلام شیخ طوسی استفاده می‌شود این است که شیخ در مقام جمع عرفی بین روایات</w:t>
      </w:r>
      <w:r w:rsidR="00850386">
        <w:rPr>
          <w:rFonts w:ascii="IRBadr" w:hAnsi="IRBadr" w:cs="IRBadr" w:hint="cs"/>
          <w:sz w:val="34"/>
          <w:rtl/>
        </w:rPr>
        <w:t>،</w:t>
      </w:r>
      <w:r>
        <w:rPr>
          <w:rFonts w:ascii="IRBadr" w:hAnsi="IRBadr" w:cs="IRBadr" w:hint="cs"/>
          <w:sz w:val="34"/>
          <w:rtl/>
        </w:rPr>
        <w:t xml:space="preserve"> سخن مزبور را بیان کرده است.  از برخی روایات استفاده می‌شود که به غیر از غسل جنابت اغسال دیگری نیز واجب است، </w:t>
      </w:r>
      <w:r w:rsidR="00850386">
        <w:rPr>
          <w:rFonts w:ascii="IRBadr" w:hAnsi="IRBadr" w:cs="IRBadr" w:hint="cs"/>
          <w:sz w:val="34"/>
          <w:rtl/>
        </w:rPr>
        <w:t>بنابراین روایت مذکور که بیانگر آن است که تنها یک غسل، فریضه است معارض با دیگر روایات به شمار می‌رود. برای جمع عرفی بین روایات</w:t>
      </w:r>
      <w:r w:rsidR="00FB0744">
        <w:rPr>
          <w:rFonts w:ascii="IRBadr" w:hAnsi="IRBadr" w:cs="IRBadr" w:hint="cs"/>
          <w:sz w:val="34"/>
          <w:rtl/>
        </w:rPr>
        <w:t xml:space="preserve"> شیخ طوسی بیان کرده که مراد از تنها غسلی که فریضه است آن است که تنها غسلی است که وجوبش در قرآن ذکر شده است. شیخ بدین ترتیب بین روایات جمع کرده است.</w:t>
      </w:r>
    </w:p>
    <w:p w14:paraId="1285F011" w14:textId="3E272B38" w:rsidR="00931593" w:rsidRDefault="00931593" w:rsidP="00400869">
      <w:pPr>
        <w:pStyle w:val="Heading3"/>
        <w:rPr>
          <w:rtl/>
        </w:rPr>
      </w:pPr>
      <w:bookmarkStart w:id="27" w:name="_Toc220932040"/>
      <w:bookmarkStart w:id="28" w:name="_Toc220932194"/>
      <w:bookmarkStart w:id="29" w:name="_Toc220932208"/>
      <w:r>
        <w:rPr>
          <w:rFonts w:hint="cs"/>
          <w:rtl/>
        </w:rPr>
        <w:lastRenderedPageBreak/>
        <w:t>سخن آقای سیستانی</w:t>
      </w:r>
      <w:bookmarkEnd w:id="27"/>
      <w:bookmarkEnd w:id="28"/>
      <w:bookmarkEnd w:id="29"/>
    </w:p>
    <w:p w14:paraId="78D416C2" w14:textId="135EE3D1" w:rsidR="00931593" w:rsidRDefault="00931593" w:rsidP="0092465B">
      <w:pPr>
        <w:ind w:firstLine="397"/>
        <w:rPr>
          <w:rFonts w:ascii="IRBadr" w:hAnsi="IRBadr" w:cs="IRBadr"/>
          <w:sz w:val="34"/>
          <w:rtl/>
        </w:rPr>
      </w:pPr>
      <w:r>
        <w:rPr>
          <w:rFonts w:ascii="IRBadr" w:hAnsi="IRBadr" w:cs="IRBadr" w:hint="cs"/>
          <w:sz w:val="34"/>
          <w:rtl/>
        </w:rPr>
        <w:t>آقای سیستانی بیان کرده است که فریضه چیزی است که در قرآن وارد شده است و لو تفسیر آن در سنّت وارد شده باشد. به روایت زیر توجه کنید:</w:t>
      </w:r>
    </w:p>
    <w:p w14:paraId="1F1CCB33" w14:textId="20EAC8B0" w:rsidR="00931593" w:rsidRDefault="00931593" w:rsidP="0092465B">
      <w:pPr>
        <w:ind w:firstLine="397"/>
        <w:rPr>
          <w:rFonts w:ascii="IRBadr" w:hAnsi="IRBadr" w:cs="IRBadr"/>
          <w:sz w:val="34"/>
        </w:rPr>
      </w:pPr>
      <w:r>
        <w:rPr>
          <w:rFonts w:ascii="IRBadr" w:hAnsi="IRBadr" w:cs="IRBadr" w:hint="cs"/>
          <w:sz w:val="34"/>
          <w:rtl/>
        </w:rPr>
        <w:t>«</w:t>
      </w:r>
      <w:r w:rsidRPr="00931593">
        <w:rPr>
          <w:rFonts w:ascii="IRBadr" w:hAnsi="IRBadr" w:cs="IRBadr"/>
          <w:sz w:val="34"/>
          <w:rtl/>
        </w:rPr>
        <w:t xml:space="preserve">عَنْ حَمَّادٍ عَنْ حَرِيزٍ عَنْ زُرَارَةَ قَالَ قَالَ أَبُو جَعْفَرٍ ع </w:t>
      </w:r>
      <w:r w:rsidRPr="00931593">
        <w:rPr>
          <w:rFonts w:ascii="IRBadr" w:hAnsi="IRBadr" w:cs="IRBadr"/>
          <w:color w:val="008000"/>
          <w:sz w:val="34"/>
          <w:rtl/>
        </w:rPr>
        <w:t>فَرَضَ اللَّهُ الصَّلَاةَ وَ سَنَّ رَسُولُ اللَّهِ ص عَشَرَةَ أَوْجُهٍ صَلَاةَ الْحَضَرِ وَ السَّفَرِ وَ صَلَاةَ الْخَوْفِ عَلَى ثَلَاثَةِ أَوْجُهٍ وَ صَلَاةَ كُسُوفِ الشَّمْسِ وَ الْقَمَرِ وَ صَلَاةَ الْعِيدَيْنِ وَ صَلَاةَ الِاسْتِسْقَاءِ وَ الصَّلَاةَ عَلَى الْمَيِّتِ</w:t>
      </w:r>
      <w:r>
        <w:rPr>
          <w:rFonts w:ascii="IRBadr" w:hAnsi="IRBadr" w:cs="IRBadr" w:hint="cs"/>
          <w:sz w:val="34"/>
          <w:rtl/>
        </w:rPr>
        <w:t>»</w:t>
      </w:r>
      <w:r>
        <w:rPr>
          <w:rStyle w:val="FootnoteReference"/>
          <w:rFonts w:ascii="IRBadr" w:hAnsi="IRBadr" w:cs="IRBadr"/>
          <w:sz w:val="34"/>
          <w:rtl/>
        </w:rPr>
        <w:footnoteReference w:id="8"/>
      </w:r>
      <w:r w:rsidRPr="00931593">
        <w:rPr>
          <w:rFonts w:ascii="IRBadr" w:hAnsi="IRBadr" w:cs="IRBadr"/>
          <w:sz w:val="34"/>
          <w:rtl/>
        </w:rPr>
        <w:t>.</w:t>
      </w:r>
      <w:r w:rsidR="000F2E2E">
        <w:rPr>
          <w:rFonts w:ascii="IRBadr" w:hAnsi="IRBadr" w:cs="IRBadr" w:hint="cs"/>
          <w:sz w:val="34"/>
          <w:rtl/>
        </w:rPr>
        <w:t xml:space="preserve"> </w:t>
      </w:r>
    </w:p>
    <w:p w14:paraId="61492C90" w14:textId="6A21C946" w:rsidR="00931593" w:rsidRDefault="00931593" w:rsidP="0092465B">
      <w:pPr>
        <w:ind w:firstLine="397"/>
        <w:rPr>
          <w:rFonts w:ascii="IRBadr" w:hAnsi="IRBadr" w:cs="IRBadr"/>
          <w:sz w:val="34"/>
          <w:rtl/>
        </w:rPr>
      </w:pPr>
      <w:r>
        <w:rPr>
          <w:rFonts w:ascii="IRBadr" w:hAnsi="IRBadr" w:cs="IRBadr" w:hint="cs"/>
          <w:sz w:val="34"/>
          <w:rtl/>
        </w:rPr>
        <w:t>تمامی این ده قسم به نحو اجمالی در قرآن وارد شده است. اگر مراد از فریضه چیزی باشد که حتی به نحو اجمالی هم در قرآن ذکر شده باشد، باید تمامی این موارد فریضه باشد. این روایت منافی با سخن آقای سیستانی است. تعبیر «أقیموا الصلاة» در قرآن وارد شده، ولی اینکه مراد از صلات چیست در سنّت ذکر شده است</w:t>
      </w:r>
      <w:r w:rsidR="003D0F6C">
        <w:rPr>
          <w:rFonts w:ascii="IRBadr" w:hAnsi="IRBadr" w:cs="IRBadr" w:hint="cs"/>
          <w:sz w:val="34"/>
          <w:rtl/>
        </w:rPr>
        <w:t>، و با این حال معلوم نیست آنچه رسول الله (ص) بیان نموده فریضه باشد.</w:t>
      </w:r>
      <w:r w:rsidR="000F2E2E">
        <w:rPr>
          <w:rFonts w:ascii="IRBadr" w:hAnsi="IRBadr" w:cs="IRBadr" w:hint="cs"/>
          <w:sz w:val="34"/>
          <w:rtl/>
        </w:rPr>
        <w:t xml:space="preserve"> غرض آنکه ما برای سخن آقای سیستانی شاهدی نیافتیم. همچنین به روایت زیر توجه نمایید:</w:t>
      </w:r>
    </w:p>
    <w:p w14:paraId="2D336B41" w14:textId="50360333" w:rsidR="000F2E2E" w:rsidRDefault="000F2E2E" w:rsidP="0092465B">
      <w:pPr>
        <w:ind w:firstLine="397"/>
        <w:rPr>
          <w:rFonts w:ascii="IRBadr" w:hAnsi="IRBadr" w:cs="IRBadr"/>
          <w:sz w:val="34"/>
          <w:rtl/>
        </w:rPr>
      </w:pPr>
      <w:r>
        <w:rPr>
          <w:rFonts w:ascii="IRBadr" w:hAnsi="IRBadr" w:cs="IRBadr" w:hint="cs"/>
          <w:sz w:val="34"/>
          <w:rtl/>
        </w:rPr>
        <w:t>«</w:t>
      </w:r>
      <w:r w:rsidRPr="000F2E2E">
        <w:rPr>
          <w:rFonts w:ascii="IRBadr" w:hAnsi="IRBadr" w:cs="IRBadr"/>
          <w:sz w:val="34"/>
          <w:rtl/>
        </w:rPr>
        <w:t xml:space="preserve">عَلِيُّ بْنُ إِبْرَاهِيمَ عَنْ أَبِيهِ عَنِ ابْنِ أَبِي عُمَيْرٍ عَنِ ابْنِ أُذَيْنَةَ عَنِ ابْنِ بُكَيْرٍ وَ غَيْرِهِ عَنْ أَبِي جَعْفَرٍ ع أَنَّهُ قَالَ: </w:t>
      </w:r>
      <w:r w:rsidRPr="00041582">
        <w:rPr>
          <w:rFonts w:ascii="IRBadr" w:hAnsi="IRBadr" w:cs="IRBadr"/>
          <w:color w:val="008000"/>
          <w:sz w:val="34"/>
          <w:rtl/>
        </w:rPr>
        <w:t>إِنَّ الطَّلَاقَ الَّذِي أَمَرَ اللَّهُ عَزَّ وَ جَلَّ بِهِ فِي كِتَابِهِ وَ الَّذِي سَنَّ رَسُولُ اللَّهِ ص أَنْ يُخَلِّيَ الرَّجُلُ عَنِ الْمَرْأَة</w:t>
      </w:r>
      <w:r>
        <w:rPr>
          <w:rFonts w:ascii="IRBadr" w:hAnsi="IRBadr" w:cs="IRBadr" w:hint="cs"/>
          <w:sz w:val="34"/>
          <w:rtl/>
        </w:rPr>
        <w:t>»</w:t>
      </w:r>
      <w:r>
        <w:rPr>
          <w:rStyle w:val="FootnoteReference"/>
          <w:rFonts w:ascii="IRBadr" w:hAnsi="IRBadr" w:cs="IRBadr"/>
          <w:sz w:val="34"/>
          <w:rtl/>
        </w:rPr>
        <w:footnoteReference w:id="9"/>
      </w:r>
      <w:r>
        <w:rPr>
          <w:rFonts w:ascii="IRBadr" w:hAnsi="IRBadr" w:cs="IRBadr" w:hint="cs"/>
          <w:sz w:val="34"/>
          <w:rtl/>
        </w:rPr>
        <w:t>.</w:t>
      </w:r>
    </w:p>
    <w:p w14:paraId="5C71A838" w14:textId="1E9D69B1" w:rsidR="000F2E2E" w:rsidRDefault="00AA0996" w:rsidP="0092465B">
      <w:pPr>
        <w:ind w:firstLine="397"/>
        <w:rPr>
          <w:rFonts w:ascii="IRBadr" w:hAnsi="IRBadr" w:cs="IRBadr"/>
          <w:sz w:val="34"/>
        </w:rPr>
      </w:pPr>
      <w:r>
        <w:rPr>
          <w:rFonts w:ascii="IRBadr" w:hAnsi="IRBadr" w:cs="IRBadr" w:hint="cs"/>
          <w:sz w:val="34"/>
          <w:rtl/>
        </w:rPr>
        <w:t>تعابیری چون «طلّقوهنّ لعدّتهنّ» و «أحصوا العدّة» در قرآن کریم وارد شده ولی تفسیر آنها در کلام نبی مکرّم (ص) ذکر شده است. طلاق به اعتبار اصلش فریضه و به اعتبار ویژگی‌هایش سنّت است.</w:t>
      </w:r>
      <w:r w:rsidR="003C6FB0">
        <w:rPr>
          <w:rFonts w:ascii="IRBadr" w:hAnsi="IRBadr" w:cs="IRBadr" w:hint="cs"/>
          <w:sz w:val="34"/>
          <w:rtl/>
        </w:rPr>
        <w:t xml:space="preserve"> ممکن است اصلا فرض و سنّت در این موارد جدایی‌پذیر نباشد.</w:t>
      </w:r>
    </w:p>
    <w:p w14:paraId="17EC5CAE" w14:textId="59D85DFA" w:rsidR="00021E85" w:rsidRDefault="00021E85" w:rsidP="00021E85">
      <w:pPr>
        <w:pStyle w:val="Heading2"/>
        <w:rPr>
          <w:rtl/>
        </w:rPr>
      </w:pPr>
      <w:bookmarkStart w:id="30" w:name="_Toc220932195"/>
      <w:bookmarkStart w:id="31" w:name="_Toc220932209"/>
      <w:r>
        <w:rPr>
          <w:rFonts w:hint="cs"/>
          <w:rtl/>
        </w:rPr>
        <w:t>ذکر چند نکته</w:t>
      </w:r>
      <w:bookmarkEnd w:id="30"/>
      <w:bookmarkEnd w:id="31"/>
      <w:r>
        <w:rPr>
          <w:rFonts w:hint="cs"/>
          <w:rtl/>
        </w:rPr>
        <w:t xml:space="preserve"> </w:t>
      </w:r>
    </w:p>
    <w:p w14:paraId="46B16D18" w14:textId="5D0ADAD8" w:rsidR="003C6FB0" w:rsidRDefault="00021E85" w:rsidP="003C6FB0">
      <w:pPr>
        <w:ind w:firstLine="397"/>
        <w:rPr>
          <w:rFonts w:ascii="IRBadr" w:hAnsi="IRBadr" w:cs="IRBadr"/>
          <w:sz w:val="34"/>
          <w:rtl/>
        </w:rPr>
      </w:pPr>
      <w:r w:rsidRPr="00021E85">
        <w:rPr>
          <w:rFonts w:ascii="IRBadr" w:hAnsi="IRBadr" w:cs="IRBadr" w:hint="cs"/>
          <w:b/>
          <w:bCs/>
          <w:color w:val="FF0000"/>
          <w:sz w:val="34"/>
          <w:rtl/>
        </w:rPr>
        <w:t xml:space="preserve">تقسیم سه‌گانه: </w:t>
      </w:r>
      <w:r w:rsidR="003C6FB0">
        <w:rPr>
          <w:rFonts w:ascii="IRBadr" w:hAnsi="IRBadr" w:cs="IRBadr" w:hint="cs"/>
          <w:sz w:val="34"/>
          <w:rtl/>
        </w:rPr>
        <w:t>از برخی از منابع یک تقسیم سه‌گانه استفاده می‌شود: فریضه، سنّت واجبه، سنّت مسنونه. این مطلب در فقه الرضا وارد شده است:</w:t>
      </w:r>
    </w:p>
    <w:p w14:paraId="6D5DA6FE" w14:textId="505F1BBC" w:rsidR="003C6FB0" w:rsidRDefault="003C6FB0" w:rsidP="003C6FB0">
      <w:pPr>
        <w:ind w:firstLine="397"/>
        <w:rPr>
          <w:rFonts w:ascii="IRBadr" w:hAnsi="IRBadr" w:cs="IRBadr"/>
          <w:sz w:val="34"/>
          <w:rtl/>
        </w:rPr>
      </w:pPr>
      <w:r w:rsidRPr="003C6FB0">
        <w:rPr>
          <w:rFonts w:ascii="IRBadr" w:hAnsi="IRBadr" w:cs="IRBadr" w:hint="cs"/>
          <w:color w:val="008000"/>
          <w:sz w:val="34"/>
          <w:rtl/>
        </w:rPr>
        <w:t>«</w:t>
      </w:r>
      <w:r w:rsidRPr="003C6FB0">
        <w:rPr>
          <w:rFonts w:ascii="IRBadr" w:hAnsi="IRBadr" w:cs="IRBadr"/>
          <w:color w:val="008000"/>
          <w:sz w:val="34"/>
          <w:rtl/>
        </w:rPr>
        <w:t xml:space="preserve">اعْلَمُوا رَحِمَكُمُ اللَّهُ أَنَّ غُسْلَ الْجَنَابَةِ </w:t>
      </w:r>
      <w:r>
        <w:rPr>
          <w:rFonts w:ascii="IRBadr" w:hAnsi="IRBadr" w:cs="IRBadr" w:hint="cs"/>
          <w:color w:val="008000"/>
          <w:sz w:val="34"/>
          <w:rtl/>
        </w:rPr>
        <w:t>فَ</w:t>
      </w:r>
      <w:r w:rsidRPr="003C6FB0">
        <w:rPr>
          <w:rFonts w:ascii="IRBadr" w:hAnsi="IRBadr" w:cs="IRBadr"/>
          <w:color w:val="008000"/>
          <w:sz w:val="34"/>
          <w:rtl/>
        </w:rPr>
        <w:t>رِيضَةٌ مِنْ فَرَائِضِ اللَّهِ جَلَّ وَ عَزَّ وَ أَنَّهُ لَيْسَ مِنَ الْغُسْلِ فَرْضٌ غَيْرُهُ وَ بَاقِي الْغُسْلِ سُنَّةٌ وَاجِبَةٌ وَ مِنْهَا سُنَّةٌ مَسْنُونَةٌ إِلَّا أَنَّ بَعْضَهَا أَلْزَمُ مِنْ بَعْضٍ وَ أَوْجَبُ مِنْ بَعْضٍ</w:t>
      </w:r>
      <w:r w:rsidRPr="003C6FB0">
        <w:rPr>
          <w:rFonts w:ascii="IRBadr" w:hAnsi="IRBadr" w:cs="IRBadr" w:hint="cs"/>
          <w:color w:val="008000"/>
          <w:sz w:val="34"/>
          <w:rtl/>
        </w:rPr>
        <w:t>»</w:t>
      </w:r>
      <w:r>
        <w:rPr>
          <w:rStyle w:val="FootnoteReference"/>
          <w:rFonts w:ascii="IRBadr" w:hAnsi="IRBadr" w:cs="IRBadr"/>
          <w:color w:val="008000"/>
          <w:sz w:val="34"/>
          <w:rtl/>
        </w:rPr>
        <w:footnoteReference w:id="10"/>
      </w:r>
      <w:r>
        <w:rPr>
          <w:rFonts w:ascii="IRBadr" w:hAnsi="IRBadr" w:cs="IRBadr" w:hint="cs"/>
          <w:sz w:val="34"/>
          <w:rtl/>
        </w:rPr>
        <w:t>.</w:t>
      </w:r>
    </w:p>
    <w:p w14:paraId="6BB7D8BB" w14:textId="17DE0830" w:rsidR="003C6FB0" w:rsidRDefault="003C6FB0" w:rsidP="003C6FB0">
      <w:pPr>
        <w:ind w:firstLine="397"/>
        <w:rPr>
          <w:rFonts w:ascii="IRBadr" w:hAnsi="IRBadr" w:cs="IRBadr"/>
          <w:sz w:val="34"/>
          <w:rtl/>
        </w:rPr>
      </w:pPr>
      <w:r>
        <w:rPr>
          <w:rFonts w:ascii="IRBadr" w:hAnsi="IRBadr" w:cs="IRBadr" w:hint="cs"/>
          <w:sz w:val="34"/>
          <w:rtl/>
        </w:rPr>
        <w:t>از این نقل هم استفاده نمی‌شود که فریضه آن چیزی است که در قرآن وارد شده است. البته ممکن است بیان شود هرآنچه در قرآن وارد شده فریضه است، ولی دلیلی بر اختصاص فرائض به آنچه در قرآن آمده وجود ندارد.</w:t>
      </w:r>
      <w:r w:rsidR="00FE08E5">
        <w:rPr>
          <w:rFonts w:ascii="IRBadr" w:hAnsi="IRBadr" w:cs="IRBadr" w:hint="cs"/>
          <w:sz w:val="34"/>
          <w:rtl/>
        </w:rPr>
        <w:t xml:space="preserve"> ممکن است برخی از فرائض در سنّت وارد شده باشد.</w:t>
      </w:r>
    </w:p>
    <w:p w14:paraId="3BECDC59" w14:textId="41254DE8" w:rsidR="00901126" w:rsidRDefault="00021E85" w:rsidP="003C6FB0">
      <w:pPr>
        <w:ind w:firstLine="397"/>
        <w:rPr>
          <w:rFonts w:ascii="IRBadr" w:hAnsi="IRBadr" w:cs="IRBadr"/>
          <w:sz w:val="34"/>
        </w:rPr>
      </w:pPr>
      <w:r w:rsidRPr="00021E85">
        <w:rPr>
          <w:rFonts w:ascii="IRBadr" w:hAnsi="IRBadr" w:cs="IRBadr" w:hint="cs"/>
          <w:b/>
          <w:bCs/>
          <w:color w:val="FF0000"/>
          <w:sz w:val="34"/>
          <w:rtl/>
        </w:rPr>
        <w:t xml:space="preserve">قضا داشتن فریضه: </w:t>
      </w:r>
      <w:r w:rsidR="00901126">
        <w:rPr>
          <w:rFonts w:ascii="IRBadr" w:hAnsi="IRBadr" w:cs="IRBadr" w:hint="cs"/>
          <w:sz w:val="34"/>
          <w:rtl/>
        </w:rPr>
        <w:t xml:space="preserve">عبارت دیگری در فقه الرضا آمده که در برخی دیگر از روایات هم ذکر شده است. شدّتی در فریضه وجود دارد که در سنّت نیست. این شدّت منشا احکام مختلفی شده است. یکی از آنها اینکه فریضه قضا دارد ولی سنّت قضا ندارد. </w:t>
      </w:r>
    </w:p>
    <w:p w14:paraId="7F9580FE" w14:textId="77777777" w:rsidR="003C6FB0" w:rsidRDefault="003C6FB0" w:rsidP="003C6FB0">
      <w:pPr>
        <w:ind w:firstLine="397"/>
        <w:rPr>
          <w:rFonts w:ascii="IRBadr" w:hAnsi="IRBadr" w:cs="IRBadr"/>
          <w:sz w:val="34"/>
          <w:rtl/>
        </w:rPr>
      </w:pPr>
    </w:p>
    <w:p w14:paraId="5042F1BC" w14:textId="7A8B6AEB" w:rsidR="00606DB9" w:rsidRDefault="00606DB9" w:rsidP="00862B58">
      <w:pPr>
        <w:ind w:firstLine="397"/>
        <w:rPr>
          <w:rFonts w:ascii="IRBadr" w:hAnsi="IRBadr" w:cs="IRBadr"/>
          <w:sz w:val="34"/>
          <w:rtl/>
        </w:rPr>
      </w:pPr>
    </w:p>
    <w:p w14:paraId="65655323" w14:textId="531FB164" w:rsidR="00A24355" w:rsidRDefault="00A24355" w:rsidP="00433E59">
      <w:pPr>
        <w:rPr>
          <w:rFonts w:ascii="IRBadr" w:hAnsi="IRBadr" w:cs="IRBadr"/>
          <w:sz w:val="34"/>
        </w:rPr>
      </w:pPr>
    </w:p>
    <w:sectPr w:rsidR="00A24355"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99409" w14:textId="77777777" w:rsidR="000C11D6" w:rsidRDefault="000C11D6" w:rsidP="008B750B">
      <w:pPr>
        <w:spacing w:line="240" w:lineRule="auto"/>
      </w:pPr>
      <w:r>
        <w:separator/>
      </w:r>
    </w:p>
    <w:p w14:paraId="7F910005" w14:textId="77777777" w:rsidR="000C11D6" w:rsidRDefault="000C11D6"/>
  </w:endnote>
  <w:endnote w:type="continuationSeparator" w:id="0">
    <w:p w14:paraId="31B576EC" w14:textId="77777777" w:rsidR="000C11D6" w:rsidRDefault="000C11D6" w:rsidP="008B750B">
      <w:pPr>
        <w:spacing w:line="240" w:lineRule="auto"/>
      </w:pPr>
      <w:r>
        <w:continuationSeparator/>
      </w:r>
    </w:p>
    <w:p w14:paraId="19A01739" w14:textId="77777777" w:rsidR="000C11D6" w:rsidRDefault="000C1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E22579" w:rsidRPr="00E22579">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2" w:name="BokAdres"/>
          <w:bookmarkEnd w:id="32"/>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33A6D" w14:textId="77777777" w:rsidR="000C11D6" w:rsidRDefault="000C11D6" w:rsidP="008B750B">
      <w:pPr>
        <w:spacing w:line="240" w:lineRule="auto"/>
      </w:pPr>
      <w:r>
        <w:separator/>
      </w:r>
    </w:p>
    <w:p w14:paraId="580568B3" w14:textId="77777777" w:rsidR="000C11D6" w:rsidRDefault="000C11D6"/>
  </w:footnote>
  <w:footnote w:type="continuationSeparator" w:id="0">
    <w:p w14:paraId="0DF83C65" w14:textId="77777777" w:rsidR="000C11D6" w:rsidRDefault="000C11D6" w:rsidP="008B750B">
      <w:pPr>
        <w:spacing w:line="240" w:lineRule="auto"/>
      </w:pPr>
      <w:r>
        <w:continuationSeparator/>
      </w:r>
    </w:p>
    <w:p w14:paraId="073196EF" w14:textId="77777777" w:rsidR="000C11D6" w:rsidRDefault="000C11D6"/>
  </w:footnote>
  <w:footnote w:id="1">
    <w:p w14:paraId="48D5B3D3" w14:textId="15FB6B85" w:rsidR="00B8605A" w:rsidRPr="00B8605A" w:rsidRDefault="00B8605A" w:rsidP="00B8605A">
      <w:pPr>
        <w:pStyle w:val="FootnoteText"/>
      </w:pPr>
      <w:r w:rsidRPr="00B8605A">
        <w:footnoteRef/>
      </w:r>
      <w:r w:rsidRPr="00B8605A">
        <w:rPr>
          <w:rtl/>
        </w:rPr>
        <w:t xml:space="preserve"> </w:t>
      </w:r>
      <w:hyperlink r:id="rId1" w:history="1">
        <w:r w:rsidRPr="00B8605A">
          <w:rPr>
            <w:rStyle w:val="Hyperlink"/>
            <w:rtl/>
          </w:rPr>
          <w:t>تهذ</w:t>
        </w:r>
        <w:r w:rsidRPr="00B8605A">
          <w:rPr>
            <w:rStyle w:val="Hyperlink"/>
            <w:rFonts w:hint="cs"/>
            <w:rtl/>
          </w:rPr>
          <w:t>ی</w:t>
        </w:r>
        <w:r w:rsidRPr="00B8605A">
          <w:rPr>
            <w:rStyle w:val="Hyperlink"/>
            <w:rFonts w:hint="eastAsia"/>
            <w:rtl/>
          </w:rPr>
          <w:t>ب</w:t>
        </w:r>
        <w:r w:rsidRPr="00B8605A">
          <w:rPr>
            <w:rStyle w:val="Hyperlink"/>
            <w:rtl/>
          </w:rPr>
          <w:t xml:space="preserve"> الاحکام، ش</w:t>
        </w:r>
        <w:r w:rsidRPr="00B8605A">
          <w:rPr>
            <w:rStyle w:val="Hyperlink"/>
            <w:rFonts w:hint="cs"/>
            <w:rtl/>
          </w:rPr>
          <w:t>ی</w:t>
        </w:r>
        <w:r w:rsidRPr="00B8605A">
          <w:rPr>
            <w:rStyle w:val="Hyperlink"/>
            <w:rFonts w:hint="eastAsia"/>
            <w:rtl/>
          </w:rPr>
          <w:t>خ</w:t>
        </w:r>
        <w:r w:rsidRPr="00B8605A">
          <w:rPr>
            <w:rStyle w:val="Hyperlink"/>
            <w:rtl/>
          </w:rPr>
          <w:t xml:space="preserve"> طوس</w:t>
        </w:r>
        <w:r w:rsidRPr="00B8605A">
          <w:rPr>
            <w:rStyle w:val="Hyperlink"/>
            <w:rFonts w:hint="cs"/>
            <w:rtl/>
          </w:rPr>
          <w:t>ی</w:t>
        </w:r>
        <w:r w:rsidRPr="00B8605A">
          <w:rPr>
            <w:rStyle w:val="Hyperlink"/>
            <w:rFonts w:hint="eastAsia"/>
            <w:rtl/>
          </w:rPr>
          <w:t>،</w:t>
        </w:r>
        <w:r w:rsidRPr="00B8605A">
          <w:rPr>
            <w:rStyle w:val="Hyperlink"/>
            <w:rtl/>
          </w:rPr>
          <w:t xml:space="preserve"> ج1، ص110</w:t>
        </w:r>
        <w:r w:rsidRPr="00B8605A">
          <w:rPr>
            <w:rStyle w:val="Hyperlink"/>
          </w:rPr>
          <w:t>.</w:t>
        </w:r>
      </w:hyperlink>
    </w:p>
  </w:footnote>
  <w:footnote w:id="2">
    <w:p w14:paraId="351BB58A" w14:textId="705698F5" w:rsidR="00B8605A" w:rsidRPr="00B8605A" w:rsidRDefault="00B8605A" w:rsidP="00B8605A">
      <w:pPr>
        <w:pStyle w:val="FootnoteText"/>
      </w:pPr>
      <w:r w:rsidRPr="00B8605A">
        <w:footnoteRef/>
      </w:r>
      <w:r w:rsidRPr="00B8605A">
        <w:rPr>
          <w:rtl/>
        </w:rPr>
        <w:t xml:space="preserve"> </w:t>
      </w:r>
      <w:hyperlink r:id="rId2" w:history="1">
        <w:r w:rsidRPr="00B8605A">
          <w:rPr>
            <w:rStyle w:val="Hyperlink"/>
            <w:rtl/>
          </w:rPr>
          <w:t>استبصار، ش</w:t>
        </w:r>
        <w:r w:rsidRPr="00B8605A">
          <w:rPr>
            <w:rStyle w:val="Hyperlink"/>
            <w:rFonts w:hint="cs"/>
            <w:rtl/>
          </w:rPr>
          <w:t>ی</w:t>
        </w:r>
        <w:r w:rsidRPr="00B8605A">
          <w:rPr>
            <w:rStyle w:val="Hyperlink"/>
            <w:rFonts w:hint="eastAsia"/>
            <w:rtl/>
          </w:rPr>
          <w:t>خ</w:t>
        </w:r>
        <w:r w:rsidRPr="00B8605A">
          <w:rPr>
            <w:rStyle w:val="Hyperlink"/>
            <w:rtl/>
          </w:rPr>
          <w:t xml:space="preserve"> طوس</w:t>
        </w:r>
        <w:r w:rsidRPr="00B8605A">
          <w:rPr>
            <w:rStyle w:val="Hyperlink"/>
            <w:rFonts w:hint="cs"/>
            <w:rtl/>
          </w:rPr>
          <w:t>ی</w:t>
        </w:r>
        <w:r w:rsidRPr="00B8605A">
          <w:rPr>
            <w:rStyle w:val="Hyperlink"/>
            <w:rFonts w:hint="eastAsia"/>
            <w:rtl/>
          </w:rPr>
          <w:t>،</w:t>
        </w:r>
        <w:r w:rsidRPr="00B8605A">
          <w:rPr>
            <w:rStyle w:val="Hyperlink"/>
            <w:rtl/>
          </w:rPr>
          <w:t xml:space="preserve"> ج۱، ص۹۹</w:t>
        </w:r>
        <w:r w:rsidRPr="00B8605A">
          <w:rPr>
            <w:rStyle w:val="Hyperlink"/>
          </w:rPr>
          <w:t>.</w:t>
        </w:r>
      </w:hyperlink>
    </w:p>
  </w:footnote>
  <w:footnote w:id="3">
    <w:p w14:paraId="499979D5" w14:textId="5920B28D" w:rsidR="00B8605A" w:rsidRPr="00B8605A" w:rsidRDefault="00B8605A" w:rsidP="00B8605A">
      <w:pPr>
        <w:pStyle w:val="FootnoteText"/>
      </w:pPr>
      <w:r w:rsidRPr="00B8605A">
        <w:footnoteRef/>
      </w:r>
      <w:r w:rsidRPr="00B8605A">
        <w:rPr>
          <w:rtl/>
        </w:rPr>
        <w:t xml:space="preserve"> </w:t>
      </w:r>
      <w:hyperlink r:id="rId3" w:history="1">
        <w:r w:rsidRPr="00B8605A">
          <w:rPr>
            <w:rStyle w:val="Hyperlink"/>
            <w:rtl/>
          </w:rPr>
          <w:t>روضة المتق</w:t>
        </w:r>
        <w:r w:rsidRPr="00B8605A">
          <w:rPr>
            <w:rStyle w:val="Hyperlink"/>
            <w:rFonts w:hint="cs"/>
            <w:rtl/>
          </w:rPr>
          <w:t>ی</w:t>
        </w:r>
        <w:r w:rsidRPr="00B8605A">
          <w:rPr>
            <w:rStyle w:val="Hyperlink"/>
            <w:rFonts w:hint="eastAsia"/>
            <w:rtl/>
          </w:rPr>
          <w:t>ن،</w:t>
        </w:r>
        <w:r w:rsidRPr="00B8605A">
          <w:rPr>
            <w:rStyle w:val="Hyperlink"/>
            <w:rtl/>
          </w:rPr>
          <w:t xml:space="preserve"> محمد تق</w:t>
        </w:r>
        <w:r w:rsidRPr="00B8605A">
          <w:rPr>
            <w:rStyle w:val="Hyperlink"/>
            <w:rFonts w:hint="cs"/>
            <w:rtl/>
          </w:rPr>
          <w:t>ی</w:t>
        </w:r>
        <w:r w:rsidRPr="00B8605A">
          <w:rPr>
            <w:rStyle w:val="Hyperlink"/>
            <w:rtl/>
          </w:rPr>
          <w:t xml:space="preserve"> المجلس</w:t>
        </w:r>
        <w:r w:rsidRPr="00B8605A">
          <w:rPr>
            <w:rStyle w:val="Hyperlink"/>
            <w:rFonts w:hint="cs"/>
            <w:rtl/>
          </w:rPr>
          <w:t>ی</w:t>
        </w:r>
        <w:r w:rsidRPr="00B8605A">
          <w:rPr>
            <w:rStyle w:val="Hyperlink"/>
            <w:rFonts w:hint="eastAsia"/>
            <w:rtl/>
          </w:rPr>
          <w:t>،</w:t>
        </w:r>
        <w:r w:rsidRPr="00B8605A">
          <w:rPr>
            <w:rStyle w:val="Hyperlink"/>
            <w:rtl/>
          </w:rPr>
          <w:t xml:space="preserve"> ج1، ص125</w:t>
        </w:r>
        <w:r w:rsidRPr="00B8605A">
          <w:rPr>
            <w:rStyle w:val="Hyperlink"/>
          </w:rPr>
          <w:t>.</w:t>
        </w:r>
      </w:hyperlink>
    </w:p>
  </w:footnote>
  <w:footnote w:id="4">
    <w:p w14:paraId="185B94BC" w14:textId="2F410594" w:rsidR="00AE3FBF" w:rsidRDefault="00AE3FBF">
      <w:pPr>
        <w:pStyle w:val="FootnoteText"/>
      </w:pPr>
      <w:r>
        <w:rPr>
          <w:rStyle w:val="FootnoteReference"/>
        </w:rPr>
        <w:footnoteRef/>
      </w:r>
      <w:r>
        <w:rPr>
          <w:rtl/>
        </w:rPr>
        <w:t xml:space="preserve"> </w:t>
      </w:r>
      <w:r w:rsidRPr="00AE3FBF">
        <w:rPr>
          <w:rtl/>
        </w:rPr>
        <w:t>لوامع صاحبقرانى مشهور به شرح فقيه، ج‏1، ص: 353</w:t>
      </w:r>
    </w:p>
  </w:footnote>
  <w:footnote w:id="5">
    <w:p w14:paraId="2FD5A0E1" w14:textId="0625237B" w:rsidR="00B44748" w:rsidRDefault="00B44748">
      <w:pPr>
        <w:pStyle w:val="FootnoteText"/>
      </w:pPr>
      <w:r>
        <w:rPr>
          <w:rStyle w:val="FootnoteReference"/>
        </w:rPr>
        <w:footnoteRef/>
      </w:r>
      <w:r>
        <w:rPr>
          <w:rtl/>
        </w:rPr>
        <w:t xml:space="preserve"> </w:t>
      </w:r>
      <w:r w:rsidRPr="00B44748">
        <w:rPr>
          <w:rtl/>
        </w:rPr>
        <w:t>ملاذ الأخيار في فهم تهذيب الأخبار، ج‏4، ص: 282</w:t>
      </w:r>
    </w:p>
  </w:footnote>
  <w:footnote w:id="6">
    <w:p w14:paraId="08DCDACA" w14:textId="66BD5D21" w:rsidR="00862B58" w:rsidRPr="00862B58" w:rsidRDefault="00862B58" w:rsidP="00862B58">
      <w:pPr>
        <w:pStyle w:val="FootnoteText"/>
      </w:pPr>
      <w:r w:rsidRPr="00862B58">
        <w:footnoteRef/>
      </w:r>
      <w:r w:rsidRPr="00862B58">
        <w:rPr>
          <w:rtl/>
        </w:rPr>
        <w:t xml:space="preserve"> </w:t>
      </w:r>
      <w:hyperlink r:id="rId4" w:history="1">
        <w:r w:rsidRPr="00862B58">
          <w:rPr>
            <w:rStyle w:val="Hyperlink"/>
            <w:rtl/>
          </w:rPr>
          <w:t>بحار الانوار، محمّد باقر المجلس</w:t>
        </w:r>
        <w:r w:rsidRPr="00862B58">
          <w:rPr>
            <w:rStyle w:val="Hyperlink"/>
            <w:rFonts w:hint="cs"/>
            <w:rtl/>
          </w:rPr>
          <w:t>ی</w:t>
        </w:r>
        <w:r w:rsidRPr="00862B58">
          <w:rPr>
            <w:rStyle w:val="Hyperlink"/>
            <w:rtl/>
          </w:rPr>
          <w:t xml:space="preserve"> (العلامة المجلس</w:t>
        </w:r>
        <w:r w:rsidRPr="00862B58">
          <w:rPr>
            <w:rStyle w:val="Hyperlink"/>
            <w:rFonts w:hint="cs"/>
            <w:rtl/>
          </w:rPr>
          <w:t>ی</w:t>
        </w:r>
        <w:r w:rsidRPr="00862B58">
          <w:rPr>
            <w:rStyle w:val="Hyperlink"/>
            <w:rtl/>
          </w:rPr>
          <w:t>)، ج80، ص160</w:t>
        </w:r>
        <w:r w:rsidRPr="00862B58">
          <w:rPr>
            <w:rStyle w:val="Hyperlink"/>
          </w:rPr>
          <w:t>.</w:t>
        </w:r>
      </w:hyperlink>
    </w:p>
  </w:footnote>
  <w:footnote w:id="7">
    <w:p w14:paraId="51628DE7" w14:textId="061C213A" w:rsidR="00606DB9" w:rsidRPr="00606DB9" w:rsidRDefault="00606DB9" w:rsidP="00606DB9">
      <w:pPr>
        <w:pStyle w:val="FootnoteText"/>
      </w:pPr>
      <w:r w:rsidRPr="00606DB9">
        <w:footnoteRef/>
      </w:r>
      <w:r w:rsidRPr="00606DB9">
        <w:rPr>
          <w:rtl/>
        </w:rPr>
        <w:t xml:space="preserve"> </w:t>
      </w:r>
      <w:hyperlink r:id="rId5" w:history="1">
        <w:r w:rsidRPr="00606DB9">
          <w:rPr>
            <w:rStyle w:val="Hyperlink"/>
            <w:rtl/>
          </w:rPr>
          <w:t>الکاف</w:t>
        </w:r>
        <w:r w:rsidRPr="00606DB9">
          <w:rPr>
            <w:rStyle w:val="Hyperlink"/>
            <w:rFonts w:hint="cs"/>
            <w:rtl/>
          </w:rPr>
          <w:t>ی</w:t>
        </w:r>
        <w:r w:rsidRPr="00606DB9">
          <w:rPr>
            <w:rStyle w:val="Hyperlink"/>
            <w:rFonts w:hint="eastAsia"/>
            <w:rtl/>
          </w:rPr>
          <w:t>،</w:t>
        </w:r>
        <w:r w:rsidRPr="00606DB9">
          <w:rPr>
            <w:rStyle w:val="Hyperlink"/>
            <w:rtl/>
          </w:rPr>
          <w:t xml:space="preserve"> محمد بن </w:t>
        </w:r>
        <w:r w:rsidRPr="00606DB9">
          <w:rPr>
            <w:rStyle w:val="Hyperlink"/>
            <w:rFonts w:hint="cs"/>
            <w:rtl/>
          </w:rPr>
          <w:t>ی</w:t>
        </w:r>
        <w:r w:rsidRPr="00606DB9">
          <w:rPr>
            <w:rStyle w:val="Hyperlink"/>
            <w:rFonts w:hint="eastAsia"/>
            <w:rtl/>
          </w:rPr>
          <w:t>عقوب</w:t>
        </w:r>
        <w:r w:rsidRPr="00606DB9">
          <w:rPr>
            <w:rStyle w:val="Hyperlink"/>
            <w:rtl/>
          </w:rPr>
          <w:t xml:space="preserve"> کل</w:t>
        </w:r>
        <w:r w:rsidRPr="00606DB9">
          <w:rPr>
            <w:rStyle w:val="Hyperlink"/>
            <w:rFonts w:hint="cs"/>
            <w:rtl/>
          </w:rPr>
          <w:t>ی</w:t>
        </w:r>
        <w:r w:rsidRPr="00606DB9">
          <w:rPr>
            <w:rStyle w:val="Hyperlink"/>
            <w:rFonts w:hint="eastAsia"/>
            <w:rtl/>
          </w:rPr>
          <w:t>ن</w:t>
        </w:r>
        <w:r w:rsidRPr="00606DB9">
          <w:rPr>
            <w:rStyle w:val="Hyperlink"/>
            <w:rFonts w:hint="cs"/>
            <w:rtl/>
          </w:rPr>
          <w:t>ی</w:t>
        </w:r>
        <w:r w:rsidRPr="00606DB9">
          <w:rPr>
            <w:rStyle w:val="Hyperlink"/>
            <w:rFonts w:hint="eastAsia"/>
            <w:rtl/>
          </w:rPr>
          <w:t>،</w:t>
        </w:r>
        <w:r w:rsidRPr="00606DB9">
          <w:rPr>
            <w:rStyle w:val="Hyperlink"/>
            <w:rtl/>
          </w:rPr>
          <w:t xml:space="preserve"> ج1، ص266</w:t>
        </w:r>
        <w:r w:rsidRPr="00606DB9">
          <w:rPr>
            <w:rStyle w:val="Hyperlink"/>
          </w:rPr>
          <w:t>.</w:t>
        </w:r>
      </w:hyperlink>
    </w:p>
  </w:footnote>
  <w:footnote w:id="8">
    <w:p w14:paraId="001F1DD8" w14:textId="0A98BF2D" w:rsidR="00931593" w:rsidRPr="00931593" w:rsidRDefault="00931593" w:rsidP="00931593">
      <w:pPr>
        <w:pStyle w:val="FootnoteText"/>
        <w:rPr>
          <w:rtl/>
        </w:rPr>
      </w:pPr>
      <w:r w:rsidRPr="00931593">
        <w:footnoteRef/>
      </w:r>
      <w:r w:rsidRPr="00931593">
        <w:rPr>
          <w:rtl/>
        </w:rPr>
        <w:t xml:space="preserve"> </w:t>
      </w:r>
      <w:hyperlink r:id="rId6" w:history="1">
        <w:r w:rsidRPr="00931593">
          <w:rPr>
            <w:rStyle w:val="Hyperlink"/>
            <w:rtl/>
          </w:rPr>
          <w:t>الکاف</w:t>
        </w:r>
        <w:r w:rsidRPr="00931593">
          <w:rPr>
            <w:rStyle w:val="Hyperlink"/>
            <w:rFonts w:hint="cs"/>
            <w:rtl/>
          </w:rPr>
          <w:t>ی</w:t>
        </w:r>
        <w:r w:rsidRPr="00931593">
          <w:rPr>
            <w:rStyle w:val="Hyperlink"/>
            <w:rFonts w:hint="eastAsia"/>
            <w:rtl/>
          </w:rPr>
          <w:t>،</w:t>
        </w:r>
        <w:r w:rsidRPr="00931593">
          <w:rPr>
            <w:rStyle w:val="Hyperlink"/>
            <w:rtl/>
          </w:rPr>
          <w:t xml:space="preserve"> محمد بن </w:t>
        </w:r>
        <w:r w:rsidRPr="00931593">
          <w:rPr>
            <w:rStyle w:val="Hyperlink"/>
            <w:rFonts w:hint="cs"/>
            <w:rtl/>
          </w:rPr>
          <w:t>ی</w:t>
        </w:r>
        <w:r w:rsidRPr="00931593">
          <w:rPr>
            <w:rStyle w:val="Hyperlink"/>
            <w:rFonts w:hint="eastAsia"/>
            <w:rtl/>
          </w:rPr>
          <w:t>عقوب</w:t>
        </w:r>
        <w:r w:rsidRPr="00931593">
          <w:rPr>
            <w:rStyle w:val="Hyperlink"/>
            <w:rtl/>
          </w:rPr>
          <w:t xml:space="preserve"> کل</w:t>
        </w:r>
        <w:r w:rsidRPr="00931593">
          <w:rPr>
            <w:rStyle w:val="Hyperlink"/>
            <w:rFonts w:hint="cs"/>
            <w:rtl/>
          </w:rPr>
          <w:t>ی</w:t>
        </w:r>
        <w:r w:rsidRPr="00931593">
          <w:rPr>
            <w:rStyle w:val="Hyperlink"/>
            <w:rFonts w:hint="eastAsia"/>
            <w:rtl/>
          </w:rPr>
          <w:t>ن</w:t>
        </w:r>
        <w:r w:rsidRPr="00931593">
          <w:rPr>
            <w:rStyle w:val="Hyperlink"/>
            <w:rFonts w:hint="cs"/>
            <w:rtl/>
          </w:rPr>
          <w:t>ی</w:t>
        </w:r>
        <w:r w:rsidRPr="00931593">
          <w:rPr>
            <w:rStyle w:val="Hyperlink"/>
            <w:rFonts w:hint="eastAsia"/>
            <w:rtl/>
          </w:rPr>
          <w:t>،</w:t>
        </w:r>
        <w:r w:rsidRPr="00931593">
          <w:rPr>
            <w:rStyle w:val="Hyperlink"/>
            <w:rtl/>
          </w:rPr>
          <w:t xml:space="preserve"> ج3، ص272</w:t>
        </w:r>
        <w:r w:rsidRPr="00931593">
          <w:rPr>
            <w:rStyle w:val="Hyperlink"/>
          </w:rPr>
          <w:t>.</w:t>
        </w:r>
      </w:hyperlink>
      <w:r w:rsidR="000F2E2E">
        <w:rPr>
          <w:rFonts w:hint="cs"/>
          <w:rtl/>
        </w:rPr>
        <w:t xml:space="preserve">؛ </w:t>
      </w:r>
      <w:hyperlink r:id="rId7" w:history="1">
        <w:r w:rsidR="000F2E2E" w:rsidRPr="000F2E2E">
          <w:rPr>
            <w:rStyle w:val="Hyperlink"/>
            <w:rtl/>
          </w:rPr>
          <w:t xml:space="preserve">من لا </w:t>
        </w:r>
        <w:r w:rsidR="000F2E2E" w:rsidRPr="000F2E2E">
          <w:rPr>
            <w:rStyle w:val="Hyperlink"/>
            <w:rFonts w:hint="cs"/>
            <w:rtl/>
          </w:rPr>
          <w:t>ی</w:t>
        </w:r>
        <w:r w:rsidR="000F2E2E" w:rsidRPr="000F2E2E">
          <w:rPr>
            <w:rStyle w:val="Hyperlink"/>
            <w:rFonts w:hint="eastAsia"/>
            <w:rtl/>
          </w:rPr>
          <w:t>حضره</w:t>
        </w:r>
        <w:r w:rsidR="000F2E2E" w:rsidRPr="000F2E2E">
          <w:rPr>
            <w:rStyle w:val="Hyperlink"/>
            <w:rtl/>
          </w:rPr>
          <w:t xml:space="preserve"> الفق</w:t>
        </w:r>
        <w:r w:rsidR="000F2E2E" w:rsidRPr="000F2E2E">
          <w:rPr>
            <w:rStyle w:val="Hyperlink"/>
            <w:rFonts w:hint="cs"/>
            <w:rtl/>
          </w:rPr>
          <w:t>ی</w:t>
        </w:r>
        <w:r w:rsidR="000F2E2E" w:rsidRPr="000F2E2E">
          <w:rPr>
            <w:rStyle w:val="Hyperlink"/>
            <w:rFonts w:hint="eastAsia"/>
            <w:rtl/>
          </w:rPr>
          <w:t>ه،</w:t>
        </w:r>
        <w:r w:rsidR="000F2E2E" w:rsidRPr="000F2E2E">
          <w:rPr>
            <w:rStyle w:val="Hyperlink"/>
            <w:rtl/>
          </w:rPr>
          <w:t xml:space="preserve"> ش</w:t>
        </w:r>
        <w:r w:rsidR="000F2E2E" w:rsidRPr="000F2E2E">
          <w:rPr>
            <w:rStyle w:val="Hyperlink"/>
            <w:rFonts w:hint="cs"/>
            <w:rtl/>
          </w:rPr>
          <w:t>ی</w:t>
        </w:r>
        <w:r w:rsidR="000F2E2E" w:rsidRPr="000F2E2E">
          <w:rPr>
            <w:rStyle w:val="Hyperlink"/>
            <w:rFonts w:hint="eastAsia"/>
            <w:rtl/>
          </w:rPr>
          <w:t>خ</w:t>
        </w:r>
        <w:r w:rsidR="000F2E2E" w:rsidRPr="000F2E2E">
          <w:rPr>
            <w:rStyle w:val="Hyperlink"/>
            <w:rtl/>
          </w:rPr>
          <w:t xml:space="preserve"> صدوق، ج1، ص207</w:t>
        </w:r>
      </w:hyperlink>
      <w:r w:rsidR="000F2E2E">
        <w:rPr>
          <w:rFonts w:hint="cs"/>
          <w:rtl/>
        </w:rPr>
        <w:t xml:space="preserve">؛ </w:t>
      </w:r>
      <w:r w:rsidR="000F2E2E" w:rsidRPr="000F2E2E">
        <w:rPr>
          <w:rtl/>
        </w:rPr>
        <w:t>الخصال، ج‏2، ص: 44</w:t>
      </w:r>
      <w:r w:rsidR="000F2E2E">
        <w:rPr>
          <w:rFonts w:hint="cs"/>
          <w:rtl/>
        </w:rPr>
        <w:t>۴</w:t>
      </w:r>
    </w:p>
  </w:footnote>
  <w:footnote w:id="9">
    <w:p w14:paraId="2148081D" w14:textId="42458228" w:rsidR="000F2E2E" w:rsidRPr="000F2E2E" w:rsidRDefault="000F2E2E" w:rsidP="000F2E2E">
      <w:pPr>
        <w:pStyle w:val="FootnoteText"/>
      </w:pPr>
      <w:r w:rsidRPr="000F2E2E">
        <w:footnoteRef/>
      </w:r>
      <w:r w:rsidRPr="000F2E2E">
        <w:rPr>
          <w:rtl/>
        </w:rPr>
        <w:t xml:space="preserve"> </w:t>
      </w:r>
      <w:hyperlink r:id="rId8" w:history="1">
        <w:r w:rsidRPr="000F2E2E">
          <w:rPr>
            <w:rStyle w:val="Hyperlink"/>
            <w:rtl/>
          </w:rPr>
          <w:t>الکاف</w:t>
        </w:r>
        <w:r w:rsidRPr="000F2E2E">
          <w:rPr>
            <w:rStyle w:val="Hyperlink"/>
            <w:rFonts w:hint="cs"/>
            <w:rtl/>
          </w:rPr>
          <w:t>ی</w:t>
        </w:r>
        <w:r w:rsidRPr="000F2E2E">
          <w:rPr>
            <w:rStyle w:val="Hyperlink"/>
            <w:rFonts w:hint="eastAsia"/>
            <w:rtl/>
          </w:rPr>
          <w:t>،</w:t>
        </w:r>
        <w:r w:rsidRPr="000F2E2E">
          <w:rPr>
            <w:rStyle w:val="Hyperlink"/>
            <w:rtl/>
          </w:rPr>
          <w:t xml:space="preserve"> محمد بن </w:t>
        </w:r>
        <w:r w:rsidRPr="000F2E2E">
          <w:rPr>
            <w:rStyle w:val="Hyperlink"/>
            <w:rFonts w:hint="cs"/>
            <w:rtl/>
          </w:rPr>
          <w:t>ی</w:t>
        </w:r>
        <w:r w:rsidRPr="000F2E2E">
          <w:rPr>
            <w:rStyle w:val="Hyperlink"/>
            <w:rFonts w:hint="eastAsia"/>
            <w:rtl/>
          </w:rPr>
          <w:t>عقوب</w:t>
        </w:r>
        <w:r w:rsidRPr="000F2E2E">
          <w:rPr>
            <w:rStyle w:val="Hyperlink"/>
            <w:rtl/>
          </w:rPr>
          <w:t xml:space="preserve"> کل</w:t>
        </w:r>
        <w:r w:rsidRPr="000F2E2E">
          <w:rPr>
            <w:rStyle w:val="Hyperlink"/>
            <w:rFonts w:hint="cs"/>
            <w:rtl/>
          </w:rPr>
          <w:t>ی</w:t>
        </w:r>
        <w:r w:rsidRPr="000F2E2E">
          <w:rPr>
            <w:rStyle w:val="Hyperlink"/>
            <w:rFonts w:hint="eastAsia"/>
            <w:rtl/>
          </w:rPr>
          <w:t>ن</w:t>
        </w:r>
        <w:r w:rsidRPr="000F2E2E">
          <w:rPr>
            <w:rStyle w:val="Hyperlink"/>
            <w:rFonts w:hint="cs"/>
            <w:rtl/>
          </w:rPr>
          <w:t>ی</w:t>
        </w:r>
        <w:r w:rsidRPr="000F2E2E">
          <w:rPr>
            <w:rStyle w:val="Hyperlink"/>
            <w:rFonts w:hint="eastAsia"/>
            <w:rtl/>
          </w:rPr>
          <w:t>،</w:t>
        </w:r>
        <w:r w:rsidRPr="000F2E2E">
          <w:rPr>
            <w:rStyle w:val="Hyperlink"/>
            <w:rtl/>
          </w:rPr>
          <w:t xml:space="preserve"> ج6، ص68</w:t>
        </w:r>
        <w:r w:rsidRPr="000F2E2E">
          <w:rPr>
            <w:rStyle w:val="Hyperlink"/>
          </w:rPr>
          <w:t>.</w:t>
        </w:r>
      </w:hyperlink>
    </w:p>
  </w:footnote>
  <w:footnote w:id="10">
    <w:p w14:paraId="5191BAC6" w14:textId="7EE77161" w:rsidR="003C6FB0" w:rsidRDefault="003C6FB0">
      <w:pPr>
        <w:pStyle w:val="FootnoteText"/>
      </w:pPr>
      <w:r>
        <w:rPr>
          <w:rStyle w:val="FootnoteReference"/>
        </w:rPr>
        <w:footnoteRef/>
      </w:r>
      <w:r>
        <w:rPr>
          <w:rtl/>
        </w:rPr>
        <w:t xml:space="preserve"> </w:t>
      </w:r>
      <w:r w:rsidRPr="003C6FB0">
        <w:rPr>
          <w:rtl/>
        </w:rPr>
        <w:t>الفقه المنسوب إلى الإمام الرضا عليه السلام، ص: 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1E85"/>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582"/>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11D6"/>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2E2E"/>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302"/>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6D"/>
    <w:rsid w:val="003A6148"/>
    <w:rsid w:val="003A6EBE"/>
    <w:rsid w:val="003A723A"/>
    <w:rsid w:val="003A766F"/>
    <w:rsid w:val="003B1AEF"/>
    <w:rsid w:val="003B3107"/>
    <w:rsid w:val="003B4228"/>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6FB0"/>
    <w:rsid w:val="003C7511"/>
    <w:rsid w:val="003C7960"/>
    <w:rsid w:val="003D0A1B"/>
    <w:rsid w:val="003D0E67"/>
    <w:rsid w:val="003D0F6C"/>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869"/>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3E59"/>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4E37"/>
    <w:rsid w:val="004A53C1"/>
    <w:rsid w:val="004A56DE"/>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1277"/>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0C28"/>
    <w:rsid w:val="00601229"/>
    <w:rsid w:val="00601C2D"/>
    <w:rsid w:val="006034BB"/>
    <w:rsid w:val="00603B67"/>
    <w:rsid w:val="00603B6C"/>
    <w:rsid w:val="00604C05"/>
    <w:rsid w:val="006067B7"/>
    <w:rsid w:val="00606DB9"/>
    <w:rsid w:val="006070F4"/>
    <w:rsid w:val="006075BE"/>
    <w:rsid w:val="00607B4B"/>
    <w:rsid w:val="00607ED4"/>
    <w:rsid w:val="0061118A"/>
    <w:rsid w:val="006111FC"/>
    <w:rsid w:val="00611A00"/>
    <w:rsid w:val="00611C63"/>
    <w:rsid w:val="00611FD5"/>
    <w:rsid w:val="00612103"/>
    <w:rsid w:val="00612143"/>
    <w:rsid w:val="006126C1"/>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4C2C"/>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8AB"/>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7F7458"/>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386"/>
    <w:rsid w:val="00850628"/>
    <w:rsid w:val="00852711"/>
    <w:rsid w:val="0085276D"/>
    <w:rsid w:val="00852CDE"/>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58"/>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207F"/>
    <w:rsid w:val="008F306C"/>
    <w:rsid w:val="008F306F"/>
    <w:rsid w:val="008F318C"/>
    <w:rsid w:val="008F397D"/>
    <w:rsid w:val="008F4246"/>
    <w:rsid w:val="008F50FD"/>
    <w:rsid w:val="008F5522"/>
    <w:rsid w:val="008F5B4D"/>
    <w:rsid w:val="008F695C"/>
    <w:rsid w:val="008F7314"/>
    <w:rsid w:val="00900034"/>
    <w:rsid w:val="00900443"/>
    <w:rsid w:val="00900DAA"/>
    <w:rsid w:val="00901126"/>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465B"/>
    <w:rsid w:val="0092513D"/>
    <w:rsid w:val="009261C8"/>
    <w:rsid w:val="00927012"/>
    <w:rsid w:val="009273DA"/>
    <w:rsid w:val="009279A7"/>
    <w:rsid w:val="00927A9F"/>
    <w:rsid w:val="00927FA9"/>
    <w:rsid w:val="00930B44"/>
    <w:rsid w:val="00931593"/>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099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3FBF"/>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4748"/>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05A"/>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58F7"/>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686"/>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87859"/>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39A"/>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58E"/>
    <w:rsid w:val="00D46A9C"/>
    <w:rsid w:val="00D478E3"/>
    <w:rsid w:val="00D5139E"/>
    <w:rsid w:val="00D519CB"/>
    <w:rsid w:val="00D51A6C"/>
    <w:rsid w:val="00D5368E"/>
    <w:rsid w:val="00D552B9"/>
    <w:rsid w:val="00D55EBE"/>
    <w:rsid w:val="00D55F16"/>
    <w:rsid w:val="00D563C4"/>
    <w:rsid w:val="00D56CE8"/>
    <w:rsid w:val="00D57F5F"/>
    <w:rsid w:val="00D6192A"/>
    <w:rsid w:val="00D61C1F"/>
    <w:rsid w:val="00D61DA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3B5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0A36"/>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2579"/>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0744"/>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1A"/>
    <w:rsid w:val="00FD5870"/>
    <w:rsid w:val="00FD587B"/>
    <w:rsid w:val="00FD5B7E"/>
    <w:rsid w:val="00FD6402"/>
    <w:rsid w:val="00FD6A86"/>
    <w:rsid w:val="00FD7D84"/>
    <w:rsid w:val="00FE08E5"/>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07900717">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04190976">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79983255">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lib.eshia.ir/11005/6/68/" TargetMode="External"/><Relationship Id="rId3" Type="http://schemas.openxmlformats.org/officeDocument/2006/relationships/hyperlink" Target="http://lib.eshia.ir/71453/1/125/" TargetMode="External"/><Relationship Id="rId7" Type="http://schemas.openxmlformats.org/officeDocument/2006/relationships/hyperlink" Target="http://lib.eshia.ir/11021/1/207/" TargetMode="External"/><Relationship Id="rId2" Type="http://schemas.openxmlformats.org/officeDocument/2006/relationships/hyperlink" Target="http://lib.eshia.ir/11002/&#1777;/&#1785;&#1785;/" TargetMode="External"/><Relationship Id="rId1" Type="http://schemas.openxmlformats.org/officeDocument/2006/relationships/hyperlink" Target="http://lib.eshia.ir/10083/1/110/" TargetMode="External"/><Relationship Id="rId6" Type="http://schemas.openxmlformats.org/officeDocument/2006/relationships/hyperlink" Target="http://lib.eshia.ir/11005/3/272/" TargetMode="External"/><Relationship Id="rId5" Type="http://schemas.openxmlformats.org/officeDocument/2006/relationships/hyperlink" Target="http://lib.eshia.ir/11005/1/266/" TargetMode="External"/><Relationship Id="rId4" Type="http://schemas.openxmlformats.org/officeDocument/2006/relationships/hyperlink" Target="http://lib.eshia.ir/71860/80/1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9BF7B-7518-4DDB-90E4-A8E4D04B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78405</TotalTime>
  <Pages>4</Pages>
  <Words>1447</Words>
  <Characters>8248</Characters>
  <Application>Microsoft Office Word</Application>
  <DocSecurity>0</DocSecurity>
  <Lines>68</Lines>
  <Paragraphs>19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9676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1494</cp:revision>
  <cp:lastPrinted>2026-02-03T12:57:00Z</cp:lastPrinted>
  <dcterms:created xsi:type="dcterms:W3CDTF">2024-08-30T15:23:00Z</dcterms:created>
  <dcterms:modified xsi:type="dcterms:W3CDTF">2026-02-03T12:57:00Z</dcterms:modified>
  <cp:contentStatus>ویرایش 2.5</cp:contentStatus>
  <cp:version>2.7</cp:version>
</cp:coreProperties>
</file>